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</w:t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 xml:space="preserve">Firenze, </w:t>
      </w: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>29</w:t>
      </w: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 xml:space="preserve"> Novembre  2025</w:t>
      </w:r>
    </w:p>
    <w:p>
      <w:pPr>
        <w:pStyle w:val="Normal"/>
        <w:bidi w:val="0"/>
        <w:jc w:val="left"/>
        <w:rPr>
          <w:rFonts w:ascii="Liberation Serif" w:hAnsi="Liberation Serif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Liberation Serif" w:hAnsi="Liberation Serif"/>
          <w:sz w:val="28"/>
          <w:szCs w:val="28"/>
        </w:rPr>
      </w:r>
    </w:p>
    <w:p>
      <w:pPr>
        <w:pStyle w:val="Normal"/>
        <w:bidi w:val="0"/>
        <w:jc w:val="left"/>
        <w:rPr>
          <w:rFonts w:ascii="Liberation Serif" w:hAnsi="Liberation Serif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Liberation Serif" w:hAnsi="Liberation Serif"/>
          <w:sz w:val="28"/>
          <w:szCs w:val="28"/>
        </w:rPr>
      </w:r>
    </w:p>
    <w:p>
      <w:pPr>
        <w:pStyle w:val="Normal"/>
        <w:bidi w:val="0"/>
        <w:jc w:val="left"/>
        <w:rPr>
          <w:rFonts w:eastAsia="Times New Roman" w:cs="Segoe UI;Segoe UI Web (West European)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eastAsia="Times New Roman" w:cs="Segoe UI;Segoe UI Web (West European)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r>
    </w:p>
    <w:p>
      <w:pPr>
        <w:pStyle w:val="Normal"/>
        <w:spacing w:lineRule="auto" w:line="36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M00916-25                                        </w:t>
      </w:r>
    </w:p>
    <w:p>
      <w:pPr>
        <w:pStyle w:val="Normal"/>
        <w:spacing w:lineRule="auto" w:line="36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</w:rPr>
        <w:t>MOZIONE</w:t>
      </w:r>
    </w:p>
    <w:p>
      <w:pPr>
        <w:pStyle w:val="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Proponente: </w:t>
      </w:r>
      <w:r>
        <w:rPr>
          <w:rFonts w:ascii="Liberation Serif" w:hAnsi="Liberation Serif"/>
          <w:b/>
          <w:bCs/>
          <w:strike w:val="false"/>
          <w:dstrike w:val="false"/>
          <w:sz w:val="28"/>
          <w:szCs w:val="28"/>
        </w:rPr>
        <w:t xml:space="preserve"> Commissione 5 Cultura e Sport</w:t>
      </w:r>
    </w:p>
    <w:p>
      <w:pPr>
        <w:pStyle w:val="Normal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Oggetto: </w:t>
      </w:r>
      <w:r>
        <w:rPr>
          <w:rFonts w:ascii="Liberation Serif" w:hAnsi="Liberation Serif"/>
          <w:b w:val="false"/>
          <w:bCs w:val="false"/>
          <w:sz w:val="28"/>
          <w:szCs w:val="28"/>
        </w:rPr>
        <w:t>Accessibilità delle piscine presenti nel Comune di Firenze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LiberationSerif;Times New Roman"/>
          <w:b/>
          <w:b/>
          <w:sz w:val="28"/>
        </w:rPr>
      </w:pPr>
      <w:r>
        <w:rPr>
          <w:rFonts w:cs="LiberationSerif;Times New Roman" w:ascii="Liberation Serif" w:hAnsi="Liberation Serif"/>
          <w:b/>
          <w:sz w:val="28"/>
        </w:rPr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IL CONSIGLIO COMUNALE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Vista la mozione n. 916-25 con oggetto “Accessibilità delle piscine presenti nel Comune di Firenze” proposta da Cecilia Del Re;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>Premesso che</w:t>
      </w:r>
      <w:r>
        <w:rPr>
          <w:rFonts w:cs="Cambria" w:ascii="Liberation Serif" w:hAnsi="Liberation Serif"/>
          <w:sz w:val="28"/>
          <w:szCs w:val="28"/>
        </w:rPr>
        <w:t>: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 xml:space="preserve">- </w:t>
        <w:tab/>
        <w:t>l’attività acquatica per persone con disabilità motoria e cognitiva e per soggetti con bisogni complessi (autismo) produce importanti risultati per il miglioramento della salute e del benessere psico-fisico delle persone;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sz w:val="28"/>
          <w:szCs w:val="28"/>
        </w:rPr>
        <w:t>-</w:t>
        <w:tab/>
      </w:r>
      <w:r>
        <w:rPr>
          <w:rFonts w:cs="Cambria" w:ascii="Liberation Serif" w:hAnsi="Liberation Serif"/>
          <w:strike/>
          <w:sz w:val="28"/>
          <w:szCs w:val="28"/>
        </w:rPr>
        <w:t>ad oggi,</w:t>
      </w:r>
      <w:r>
        <w:rPr>
          <w:rFonts w:cs="Cambria" w:ascii="Liberation Serif" w:hAnsi="Liberation Serif"/>
          <w:sz w:val="28"/>
          <w:szCs w:val="28"/>
        </w:rPr>
        <w:t xml:space="preserve">  nel Comune di Firenze</w:t>
      </w:r>
      <w:r>
        <w:rPr>
          <w:rFonts w:cs="Cambria" w:ascii="Liberation Serif" w:hAnsi="Liberation Serif"/>
          <w:strike/>
          <w:sz w:val="28"/>
          <w:szCs w:val="28"/>
        </w:rPr>
        <w:t xml:space="preserve">, </w:t>
      </w:r>
      <w:r>
        <w:rPr>
          <w:rFonts w:cs="Cambria" w:ascii="Liberation Serif" w:hAnsi="Liberation Serif"/>
          <w:sz w:val="28"/>
          <w:szCs w:val="28"/>
        </w:rPr>
        <w:t xml:space="preserve"> le associazioni impegnate in particolare sul fronte dell’attività di subacquea adattata alle persone con disabilità motoria e cognitiva </w:t>
      </w:r>
      <w:r>
        <w:rPr>
          <w:rFonts w:cs="Cambria" w:ascii="Liberation Serif" w:hAnsi="Liberation Serif"/>
          <w:strike/>
          <w:sz w:val="28"/>
          <w:szCs w:val="28"/>
        </w:rPr>
        <w:t>fanno difficoltà a trovare</w:t>
      </w:r>
      <w:r>
        <w:rPr>
          <w:rFonts w:cs="Cambria" w:ascii="Liberation Serif" w:hAnsi="Liberation Serif"/>
          <w:sz w:val="28"/>
          <w:szCs w:val="28"/>
        </w:rPr>
        <w:t xml:space="preserve"> </w:t>
      </w:r>
      <w:r>
        <w:rPr>
          <w:rFonts w:cs="Cambria" w:ascii="Liberation Serif" w:hAnsi="Liberation Serif"/>
          <w:b/>
          <w:bCs/>
          <w:sz w:val="28"/>
          <w:szCs w:val="28"/>
        </w:rPr>
        <w:t xml:space="preserve">sono alla ricerca di ulteriori </w:t>
      </w:r>
      <w:r>
        <w:rPr>
          <w:rFonts w:cs="Cambria" w:ascii="Liberation Serif" w:hAnsi="Liberation Serif"/>
          <w:sz w:val="28"/>
          <w:szCs w:val="28"/>
        </w:rPr>
        <w:t xml:space="preserve">spazi adatti alle loro esigenze; </w:t>
      </w:r>
      <w:r>
        <w:rPr>
          <w:rFonts w:cs="Cambria" w:ascii="Liberation Serif" w:hAnsi="Liberation Serif"/>
          <w:strike/>
          <w:sz w:val="28"/>
          <w:szCs w:val="28"/>
        </w:rPr>
        <w:t xml:space="preserve">in passato, </w:t>
      </w:r>
      <w:r>
        <w:rPr>
          <w:rFonts w:cs="Cambria" w:ascii="Liberation Serif" w:hAnsi="Liberation Serif"/>
          <w:b/>
          <w:bCs/>
          <w:sz w:val="28"/>
          <w:szCs w:val="28"/>
        </w:rPr>
        <w:t>solo recentemente è stata rinnovata la collaborazione con</w:t>
      </w:r>
      <w:r>
        <w:rPr>
          <w:rFonts w:cs="Cambria" w:ascii="Liberation Serif" w:hAnsi="Liberation Serif"/>
          <w:sz w:val="28"/>
          <w:szCs w:val="28"/>
        </w:rPr>
        <w:t xml:space="preserve"> la piscina del CTO</w:t>
      </w:r>
      <w:r>
        <w:rPr>
          <w:rFonts w:cs="Cambria" w:ascii="Liberation Serif" w:hAnsi="Liberation Serif"/>
          <w:b/>
          <w:bCs/>
          <w:sz w:val="28"/>
          <w:szCs w:val="28"/>
        </w:rPr>
        <w:t>, che già in passato</w:t>
      </w:r>
      <w:r>
        <w:rPr>
          <w:rFonts w:cs="Cambria" w:ascii="Liberation Serif" w:hAnsi="Liberation Serif"/>
          <w:sz w:val="28"/>
          <w:szCs w:val="28"/>
        </w:rPr>
        <w:t xml:space="preserve"> era stata proficuamente utilizzata per tali fini da parte di alcune associazioni</w:t>
      </w:r>
      <w:r>
        <w:rPr>
          <w:rFonts w:cs="Cambria" w:ascii="Liberation Serif" w:hAnsi="Liberation Serif"/>
          <w:strike w:val="false"/>
          <w:dstrike w:val="false"/>
          <w:sz w:val="28"/>
          <w:szCs w:val="28"/>
        </w:rPr>
        <w:t>,</w:t>
      </w:r>
      <w:r>
        <w:rPr>
          <w:rFonts w:cs="Cambria" w:ascii="Liberation Serif" w:hAnsi="Liberation Serif"/>
          <w:strike/>
          <w:sz w:val="28"/>
          <w:szCs w:val="28"/>
        </w:rPr>
        <w:t xml:space="preserve"> ma la collaborazione anche con questa piscina è poi da qualche anno venuta meno, e</w:t>
      </w:r>
      <w:r>
        <w:rPr>
          <w:rFonts w:cs="Cambria" w:ascii="Liberation Serif" w:hAnsi="Liberation Serif"/>
          <w:sz w:val="28"/>
          <w:szCs w:val="28"/>
        </w:rPr>
        <w:t xml:space="preserve"> </w:t>
      </w:r>
      <w:r>
        <w:rPr>
          <w:rFonts w:cs="Cambria" w:ascii="Liberation Serif" w:hAnsi="Liberation Serif"/>
          <w:b/>
          <w:bCs/>
          <w:sz w:val="28"/>
          <w:szCs w:val="28"/>
        </w:rPr>
        <w:t>mentre</w:t>
      </w:r>
      <w:r>
        <w:rPr>
          <w:rFonts w:cs="Cambria" w:ascii="Liberation Serif" w:hAnsi="Liberation Serif"/>
          <w:sz w:val="28"/>
          <w:szCs w:val="28"/>
        </w:rPr>
        <w:t xml:space="preserve"> la piscina più vicina a Firenze adatta a tali attività si trova nel comune di Campi Bisenzio;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>Tenuto conto che: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>- L'accessibilità degli spazi acquatici è importante come stimolo alla ricerca di autonomia e di autostima per tutte le persone con disabilità;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 xml:space="preserve">- Per le persone con disabilità motoria, gli sport di acqua permettono, infatti, in maniera ancora più efficace rispetto agli altri sport di aiutare i percorsi di fisioterapia, recuperando i movimenti automatici del corpo;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sz w:val="28"/>
          <w:szCs w:val="28"/>
        </w:rPr>
        <w:t>- Per le persone con disabilità sensoriale, come le persone cieche, lo spazio a</w:t>
      </w:r>
      <w:r>
        <w:rPr>
          <w:rFonts w:cs="Cambria" w:ascii="Liberation Serif" w:hAnsi="Liberation Serif"/>
          <w:b/>
          <w:bCs/>
          <w:sz w:val="28"/>
          <w:szCs w:val="28"/>
        </w:rPr>
        <w:t>c</w:t>
      </w:r>
      <w:r>
        <w:rPr>
          <w:rFonts w:cs="Cambria" w:ascii="Liberation Serif" w:hAnsi="Liberation Serif"/>
          <w:sz w:val="28"/>
          <w:szCs w:val="28"/>
        </w:rPr>
        <w:t>quatico crea un ambiente protetto ove potersi muovere liberamente senza ostacoli imprevisti e/o improvvisi;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>- Per le persone con bisogni complessi e disabilità cognitiva, l’immersione in acqua guidata da operatore esperto riesce a sviluppare un’autonomia ed un’autostima tali da aiutare poi queste persone e i relativi care-givers anche nella loro quotidianità;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>- Importanti benefici ne traggono anche le persone della terza età, che prediligono la ginnastica in acqua per il benessere psico/fisico.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>Considerato che: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  <w:t>-</w:t>
        <w:tab/>
        <w:t>questo è, dunque, un tema importante per costruire una città accessibile, attenta ai bisogni di tutte e tutti, e che quindi diventa necessario tenerlo in considerazione in occasione dei lavori di ristrutturazione e/o di realizzazione di nuove piscine anche comunali all’interno del territorio comunale fiorentino;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>Richiamato quanto affermato dalla dirigente del Servizio Sport nel corso dell’audizione in commissione in merito a: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 xml:space="preserve">- </w:t>
        <w:tab/>
        <w:t>accessibilità e presenza di sollevatore/dispositivo per accesso in acqua presso le piscine di proprietà comunale;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 xml:space="preserve">- </w:t>
        <w:tab/>
        <w:t>acquisti di sollevatori per disabili per la piscina San Marcellino e la Micropiscina ITI, effettuati rispettivamente nel 2021 e nel 2023;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 xml:space="preserve">- </w:t>
        <w:tab/>
        <w:t>la procedura in corso a parte del Comune di Firenze per l’acquisto nell’anno 2025 di n. 19 ausili per l’accesso in autonomia delle persone con disabilità motorie alle piscine degli impianti natatori di proprietà comunale;</w:t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sz w:val="28"/>
          <w:szCs w:val="28"/>
        </w:rPr>
      </w:pPr>
      <w:r>
        <w:rPr>
          <w:rFonts w:cs="Cambria" w:ascii="Liberation Serif" w:hAnsi="Liberation Serif"/>
          <w:b/>
          <w:bCs/>
          <w:sz w:val="28"/>
          <w:szCs w:val="28"/>
        </w:rPr>
        <w:t>-</w:t>
        <w:tab/>
        <w:t>l’indagine in corso tramite questionari rivolti alle società sportive inclusive, per raccogliere dati utili ai fini di una migliore accessibilità e fruizione degli spazi degli impianti sportivi comunali.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Cambria"/>
          <w:b w:val="false"/>
          <w:b w:val="false"/>
          <w:bCs w:val="false"/>
          <w:sz w:val="28"/>
          <w:szCs w:val="28"/>
        </w:rPr>
      </w:pPr>
      <w:r>
        <w:rPr>
          <w:rFonts w:cs="Cambria" w:ascii="Liberation Serif" w:hAnsi="Liberation Serif"/>
          <w:b w:val="false"/>
          <w:bCs w:val="false"/>
          <w:sz w:val="28"/>
          <w:szCs w:val="28"/>
        </w:rPr>
        <w:t>Tutto ciò premesso</w:t>
      </w:r>
    </w:p>
    <w:p>
      <w:pPr>
        <w:pStyle w:val="Normal"/>
        <w:jc w:val="center"/>
        <w:rPr>
          <w:rFonts w:ascii="Liberation Serif" w:hAnsi="Liberation Serif" w:cs="Cambria"/>
          <w:b w:val="false"/>
          <w:b w:val="false"/>
          <w:bCs w:val="false"/>
          <w:sz w:val="28"/>
          <w:szCs w:val="28"/>
        </w:rPr>
      </w:pPr>
      <w:r>
        <w:rPr>
          <w:rFonts w:cs="Cambria" w:ascii="Liberation Serif" w:hAnsi="Liberation Serif"/>
          <w:b w:val="false"/>
          <w:bCs w:val="false"/>
          <w:sz w:val="28"/>
          <w:szCs w:val="28"/>
        </w:rPr>
        <w:t>INVITA LA SINDACA E LA GIUNTA</w:t>
      </w:r>
    </w:p>
    <w:p>
      <w:pPr>
        <w:pStyle w:val="Normal"/>
        <w:jc w:val="both"/>
        <w:rPr>
          <w:rFonts w:ascii="Liberation Serif" w:hAnsi="Liberation Serif" w:cs="Cambria"/>
          <w:sz w:val="28"/>
          <w:szCs w:val="28"/>
        </w:rPr>
      </w:pPr>
      <w:r>
        <w:rPr>
          <w:rFonts w:cs="Cambria" w:ascii="Liberation Serif" w:hAnsi="Liberation Serif"/>
          <w:sz w:val="28"/>
          <w:szCs w:val="28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>1)</w:t>
        <w:tab/>
        <w:t xml:space="preserve">ad effettuare una ricognizione di tutti gli spazi presenti sul territorio comunale fiorentino,  </w:t>
      </w:r>
      <w:r>
        <w:rPr>
          <w:rFonts w:cs="Cambria" w:ascii="Liberation Serif" w:hAnsi="Liberation Serif"/>
          <w:b/>
          <w:bCs/>
          <w:color w:val="000000"/>
          <w:sz w:val="28"/>
          <w:szCs w:val="28"/>
          <w:highlight w:val="white"/>
        </w:rPr>
        <w:t xml:space="preserve">anche </w:t>
      </w: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 xml:space="preserve">di proprietà di </w:t>
      </w:r>
      <w:r>
        <w:rPr>
          <w:rFonts w:cs="Cambria" w:ascii="Liberation Serif" w:hAnsi="Liberation Serif"/>
          <w:strike/>
          <w:color w:val="000000"/>
          <w:sz w:val="28"/>
          <w:szCs w:val="28"/>
          <w:highlight w:val="white"/>
        </w:rPr>
        <w:t>enti pubblici e/o</w:t>
      </w: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 xml:space="preserve"> enti privati,  che siano già predisposti per svolgere attività per persone con disabilità  motoria e/o cognitiva e con bisogni complessi;</w:t>
      </w:r>
    </w:p>
    <w:p>
      <w:pPr>
        <w:pStyle w:val="Normal"/>
        <w:jc w:val="both"/>
        <w:rPr>
          <w:rFonts w:ascii="Liberation Serif" w:hAnsi="Liberation Serif" w:cs="Cambria"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>2)</w:t>
        <w:tab/>
      </w:r>
      <w:r>
        <w:rPr>
          <w:rFonts w:cs="Cambria" w:ascii="Liberation Serif" w:hAnsi="Liberation Serif"/>
          <w:b/>
          <w:bCs/>
          <w:color w:val="000000"/>
          <w:sz w:val="28"/>
          <w:szCs w:val="28"/>
          <w:highlight w:val="white"/>
        </w:rPr>
        <w:t>proseguire nell’impegno</w:t>
      </w: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 xml:space="preserve"> </w:t>
      </w:r>
      <w:r>
        <w:rPr>
          <w:rFonts w:cs="Cambria" w:ascii="Liberation Serif" w:hAnsi="Liberation Serif"/>
          <w:strike/>
          <w:color w:val="000000"/>
          <w:sz w:val="28"/>
          <w:szCs w:val="28"/>
          <w:highlight w:val="white"/>
        </w:rPr>
        <w:t>ad impegnarsi</w:t>
      </w: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  <w:t xml:space="preserve"> – nella fase di ristrutturazione e/o nella realizzazione di nuovi spazi acquatici comunali – a garantire anche l’accessibilità  alle persone con disabilità, in modo tale che le associazioni impegnate su questo fronte possano stipulare con l’amministrazione degli accordi e delle convenzioni ai fini di un loro utilizzo</w:t>
      </w:r>
      <w:r>
        <w:rPr>
          <w:rFonts w:cs="Cambria" w:ascii="Liberation Serif" w:hAnsi="Liberation Serif"/>
          <w:b/>
          <w:bCs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rFonts w:ascii="Liberation Serif" w:hAnsi="Liberation Serif" w:cs="Cambria"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</w:r>
    </w:p>
    <w:p>
      <w:pPr>
        <w:pStyle w:val="Normal"/>
        <w:jc w:val="both"/>
        <w:rPr>
          <w:rFonts w:ascii="Liberation Serif" w:hAnsi="Liberation Serif" w:cs="Cambria"/>
          <w:b/>
          <w:b/>
          <w:bCs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b/>
          <w:bCs/>
          <w:color w:val="000000"/>
          <w:sz w:val="28"/>
          <w:szCs w:val="28"/>
          <w:highlight w:val="white"/>
        </w:rPr>
        <w:t>3)</w:t>
        <w:tab/>
        <w:t>prevedere, all’interno della sezione del portale comunale dedicato all’impiantistica sportiva, una comunicazione dedicata all’accessibilità degli impianti e alla mappatura degli stessi.</w:t>
      </w:r>
    </w:p>
    <w:p>
      <w:pPr>
        <w:pStyle w:val="Normal"/>
        <w:jc w:val="both"/>
        <w:rPr>
          <w:rFonts w:ascii="Liberation Serif" w:hAnsi="Liberation Serif" w:cs="Cambria"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</w:r>
    </w:p>
    <w:p>
      <w:pPr>
        <w:pStyle w:val="Normal"/>
        <w:jc w:val="both"/>
        <w:rPr>
          <w:rFonts w:ascii="Liberation Serif" w:hAnsi="Liberation Serif" w:cs="Cambria"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>
          <w:rFonts w:ascii="Liberation Serif" w:hAnsi="Liberation Serif" w:cs="Cambria"/>
          <w:color w:val="000000"/>
          <w:sz w:val="28"/>
          <w:szCs w:val="28"/>
          <w:highlight w:val="white"/>
        </w:rPr>
      </w:pPr>
      <w:r>
        <w:rPr>
          <w:rFonts w:cs="Cambria" w:ascii="Liberation Serif" w:hAnsi="Liberation Serif"/>
          <w:color w:val="000000"/>
          <w:sz w:val="28"/>
          <w:szCs w:val="28"/>
          <w:highlight w:val="white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Liberation Serif" w:hAnsi="Liberation Serif"/>
        </w:rPr>
      </w:pPr>
      <w:r>
        <w:rPr>
          <w:rFonts w:cs="Cambria" w:ascii="Liberation Serif" w:hAnsi="Liberation Serif"/>
          <w:bCs/>
          <w:sz w:val="28"/>
          <w:szCs w:val="28"/>
        </w:rPr>
        <w:tab/>
        <w:tab/>
        <w:tab/>
        <w:tab/>
        <w:tab/>
        <w:tab/>
        <w:tab/>
        <w:tab/>
        <w:tab/>
        <w:t xml:space="preserve">  </w:t>
      </w:r>
    </w:p>
    <w:p>
      <w:pPr>
        <w:pStyle w:val="ListParagraph"/>
        <w:widowControl/>
        <w:spacing w:lineRule="auto" w:line="360"/>
        <w:ind w:left="0" w:right="0" w:hanging="0"/>
        <w:jc w:val="both"/>
        <w:rPr>
          <w:rFonts w:ascii="Liberation Serif" w:hAnsi="Liberation Serif" w:eastAsia="Times New Roman" w:cs="Segoe UI;Segoe UI Web (West European)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pPr>
      <w:r>
        <w:rPr>
          <w:rFonts w:eastAsia="Times New Roman" w:cs="Segoe UI;Segoe UI Web (West European)" w:ascii="Liberation Serif" w:hAnsi="Liberation Serif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r>
    </w:p>
    <w:p>
      <w:pPr>
        <w:pStyle w:val="Normal"/>
        <w:bidi w:val="0"/>
        <w:spacing w:lineRule="auto" w:line="240"/>
        <w:ind w:right="0" w:hanging="0"/>
        <w:jc w:val="both"/>
        <w:rPr>
          <w:rFonts w:ascii="Liberation Serif" w:hAnsi="Liberation Serif" w:eastAsia="Times New Roman" w:cs="Segoe UI;Segoe UI Web (West European)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pPr>
      <w:r>
        <w:rPr>
          <w:rFonts w:eastAsia="Times New Roman" w:cs="Segoe UI;Segoe UI Web (West European)" w:ascii="Liberation Serif" w:hAnsi="Liberation Serif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r>
    </w:p>
    <w:p>
      <w:pPr>
        <w:pStyle w:val="Normal"/>
        <w:bidi w:val="0"/>
        <w:spacing w:lineRule="auto" w:line="240"/>
        <w:ind w:right="0" w:hanging="0"/>
        <w:jc w:val="both"/>
        <w:rPr>
          <w:rFonts w:ascii="Liberation Serif" w:hAnsi="Liberation Serif"/>
        </w:rPr>
      </w:pPr>
      <w:r>
        <w:rPr>
          <w:rFonts w:eastAsia="Times New Roman" w:cs="Segoe UI;Segoe UI Web (West European)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  <w:tab/>
        <w:tab/>
        <w:tab/>
        <w:tab/>
        <w:tab/>
        <w:tab/>
        <w:tab/>
      </w:r>
      <w:r>
        <w:rPr>
          <w:rFonts w:eastAsia="Times New Roman" w:cs="Segoe UI;Segoe UI Web (West European)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  <w:t>Commissione 5 Cultura e Sport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EEXTH T+ Tiempos Headlin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3175" distB="3175" distL="118110" distR="118110" simplePos="0" locked="0" layoutInCell="1" allowOverlap="1" relativeHeight="10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76010" cy="1270"/>
              <wp:effectExtent l="0" t="0" r="0" b="0"/>
              <wp:wrapSquare wrapText="bothSides"/>
              <wp:docPr id="7" name="Immagin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544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0.7pt,784.55pt" ID="Immagine3_0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83080" cy="498475"/>
              <wp:effectExtent l="0" t="0" r="0" b="0"/>
              <wp:wrapNone/>
              <wp:docPr id="8" name="Cornice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49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_0" fillcolor="white" stroked="f" style="position:absolute;margin-left:62.8pt;margin-top:785.5pt;width:140.3pt;height:39.1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05125" cy="570230"/>
              <wp:effectExtent l="0" t="0" r="0" b="0"/>
              <wp:wrapNone/>
              <wp:docPr id="10" name="Cornic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4480" cy="56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_0" fillcolor="white" stroked="f" style="position:absolute;margin-left:296.35pt;margin-top:786.2pt;width:228.65pt;height:44.8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83080" cy="498475"/>
              <wp:effectExtent l="0" t="0" r="0" b="0"/>
              <wp:wrapNone/>
              <wp:docPr id="1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49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40.3pt;height:39.1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76010" cy="1270"/>
              <wp:effectExtent l="0" t="0" r="0" b="0"/>
              <wp:wrapSquare wrapText="bothSides"/>
              <wp:docPr id="14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544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0.7pt,784.55pt" ID="Immagine3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05125" cy="570230"/>
              <wp:effectExtent l="0" t="0" r="0" b="0"/>
              <wp:wrapNone/>
              <wp:docPr id="1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4480" cy="56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8.65pt;height:44.8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885825</wp:posOffset>
              </wp:positionH>
              <wp:positionV relativeFrom="page">
                <wp:posOffset>1847215</wp:posOffset>
              </wp:positionV>
              <wp:extent cx="6206490" cy="590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5680" cy="4752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145.45pt" to="558.35pt,149.15pt" ID="Immagine1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888365</wp:posOffset>
              </wp:positionH>
              <wp:positionV relativeFrom="page">
                <wp:posOffset>1313180</wp:posOffset>
              </wp:positionV>
              <wp:extent cx="1493520" cy="1040765"/>
              <wp:effectExtent l="0" t="0" r="0" b="0"/>
              <wp:wrapNone/>
              <wp:docPr id="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104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103.4pt;width:117.5pt;height:81.8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3860165</wp:posOffset>
              </wp:positionH>
              <wp:positionV relativeFrom="page">
                <wp:posOffset>1633220</wp:posOffset>
              </wp:positionV>
              <wp:extent cx="2306320" cy="644525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80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303.95pt;margin-top:128.6pt;width:181.5pt;height:50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Bumpedfont15">
    <w:name w:val="bumpedfont15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  <w:sz w:val="21"/>
      <w:szCs w:val="21"/>
    </w:rPr>
  </w:style>
  <w:style w:type="character" w:styleId="WW8Num1z0">
    <w:name w:val="WW8Num1z0"/>
    <w:qFormat/>
    <w:rPr>
      <w:rFonts w:ascii="0" w:hAnsi="0" w:cs="0"/>
      <w:b w:val="false"/>
      <w:sz w:val="26"/>
    </w:rPr>
  </w:style>
  <w:style w:type="character" w:styleId="WW8Num1z1">
    <w:name w:val="WW8Num1z1"/>
    <w:qFormat/>
    <w:rPr>
      <w:rFonts w:ascii="0" w:hAnsi="0" w:cs="0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2">
    <w:name w:val="WW8Num4z2"/>
    <w:qFormat/>
    <w:rPr>
      <w:rFonts w:ascii="Wingdings" w:hAnsi="Wingdings" w:eastAsia="Wingdings"/>
    </w:rPr>
  </w:style>
  <w:style w:type="character" w:styleId="Carpredefinitoparagrafo3">
    <w:name w:val="Car. predefinito paragrafo3"/>
    <w:qFormat/>
    <w:rPr/>
  </w:style>
  <w:style w:type="character" w:styleId="WW8Num4z3">
    <w:name w:val="WW8Num4z3"/>
    <w:qFormat/>
    <w:rPr>
      <w:rFonts w:ascii="Symbol" w:hAnsi="Symbol" w:eastAsia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Symbol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Carpredefinitoparagrafo2">
    <w:name w:val="Car. predefinito paragrafo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1z0">
    <w:name w:val="WW8Num11z0"/>
    <w:qFormat/>
    <w:rPr>
      <w:rFonts w:ascii="Symbol" w:hAnsi="Symbol" w:eastAsia="Symbol"/>
      <w:color w:val="FF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3z0">
    <w:name w:val="WW8Num13z0"/>
    <w:qFormat/>
    <w:rPr>
      <w:b/>
      <w:sz w:val="28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3">
    <w:name w:val="WW8Num13z3"/>
    <w:qFormat/>
    <w:rPr>
      <w:rFonts w:ascii="Symbol" w:hAnsi="Symbol" w:eastAsia="Symbol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5z0">
    <w:name w:val="WW8Num15z0"/>
    <w:qFormat/>
    <w:rPr>
      <w:rFonts w:ascii="Symbol" w:hAnsi="Symbol" w:eastAsia="Symbol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5z2">
    <w:name w:val="WW8Num15z2"/>
    <w:qFormat/>
    <w:rPr>
      <w:rFonts w:ascii="Wingdings" w:hAnsi="Wingdings" w:eastAsia="Wingdings"/>
    </w:rPr>
  </w:style>
  <w:style w:type="character" w:styleId="WW8Num16z0">
    <w:name w:val="WW8Num16z0"/>
    <w:qFormat/>
    <w:rPr>
      <w:rFonts w:ascii="Symbol" w:hAnsi="Symbol" w:eastAsia="Symbol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2">
    <w:name w:val="WW8Num16z2"/>
    <w:qFormat/>
    <w:rPr>
      <w:rFonts w:ascii="Wingdings" w:hAnsi="Wingdings" w:eastAsia="Wingdings"/>
    </w:rPr>
  </w:style>
  <w:style w:type="character" w:styleId="WW8Num17z0">
    <w:name w:val="WW8Num17z0"/>
    <w:qFormat/>
    <w:rPr>
      <w:rFonts w:ascii="Symbol" w:hAnsi="Symbol" w:eastAsia="Symbol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2">
    <w:name w:val="WW8Num17z2"/>
    <w:qFormat/>
    <w:rPr>
      <w:rFonts w:ascii="Wingdings" w:hAnsi="Wingdings" w:eastAsia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2">
    <w:name w:val="WW8Num19z2"/>
    <w:qFormat/>
    <w:rPr>
      <w:rFonts w:ascii="Wingdings" w:hAnsi="Wingdings" w:eastAsia="Wingdings"/>
    </w:rPr>
  </w:style>
  <w:style w:type="character" w:styleId="WW8Num20z0">
    <w:name w:val="WW8Num20z0"/>
    <w:qFormat/>
    <w:rPr>
      <w:rFonts w:ascii="Symbol" w:hAnsi="Symbol" w:eastAsia="Symbol"/>
    </w:rPr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20z2">
    <w:name w:val="WW8Num20z2"/>
    <w:qFormat/>
    <w:rPr>
      <w:rFonts w:ascii="Wingdings" w:hAnsi="Wingdings" w:eastAsia="Wingdings"/>
    </w:rPr>
  </w:style>
  <w:style w:type="character" w:styleId="WW8Num21z0">
    <w:name w:val="WW8Num21z0"/>
    <w:qFormat/>
    <w:rPr>
      <w:rFonts w:ascii="Symbol" w:hAnsi="Symbol" w:eastAsia="Symbol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2z0">
    <w:name w:val="WW8Num22z0"/>
    <w:qFormat/>
    <w:rPr>
      <w:rFonts w:ascii="Symbol" w:hAnsi="Symbol" w:eastAsia="Symbol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3z0">
    <w:name w:val="WW8Num23z0"/>
    <w:qFormat/>
    <w:rPr>
      <w:rFonts w:ascii="Symbol" w:hAnsi="Symbol" w:eastAsia="Symbol"/>
    </w:rPr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3z2">
    <w:name w:val="WW8Num23z2"/>
    <w:qFormat/>
    <w:rPr>
      <w:rFonts w:ascii="Wingdings" w:hAnsi="Wingdings" w:eastAsia="Wingdings"/>
    </w:rPr>
  </w:style>
  <w:style w:type="character" w:styleId="WW8Num24z0">
    <w:name w:val="WW8Num24z0"/>
    <w:qFormat/>
    <w:rPr>
      <w:rFonts w:ascii="Symbol" w:hAnsi="Symbol" w:eastAsia="Symbol"/>
    </w:rPr>
  </w:style>
  <w:style w:type="character" w:styleId="WW8Num24z1">
    <w:name w:val="WW8Num24z1"/>
    <w:qFormat/>
    <w:rPr>
      <w:rFonts w:ascii="Courier New" w:hAnsi="Courier New" w:eastAsia="Courier New"/>
    </w:rPr>
  </w:style>
  <w:style w:type="character" w:styleId="WW8Num24z2">
    <w:name w:val="WW8Num24z2"/>
    <w:qFormat/>
    <w:rPr>
      <w:rFonts w:ascii="Wingdings" w:hAnsi="Wingdings" w:eastAsia="Wingdings"/>
    </w:rPr>
  </w:style>
  <w:style w:type="character" w:styleId="WW8Num25z0">
    <w:name w:val="WW8Num25z0"/>
    <w:qFormat/>
    <w:rPr>
      <w:rFonts w:ascii="Symbol" w:hAnsi="Symbol" w:eastAsia="Symbol"/>
    </w:rPr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5z2">
    <w:name w:val="WW8Num25z2"/>
    <w:qFormat/>
    <w:rPr>
      <w:rFonts w:ascii="Wingdings" w:hAnsi="Wingdings" w:eastAsia="Wingdings"/>
    </w:rPr>
  </w:style>
  <w:style w:type="character" w:styleId="WW8Num26z0">
    <w:name w:val="WW8Num26z0"/>
    <w:qFormat/>
    <w:rPr>
      <w:rFonts w:ascii="Symbol" w:hAnsi="Symbol" w:eastAsia="Symbol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6z2">
    <w:name w:val="WW8Num26z2"/>
    <w:qFormat/>
    <w:rPr>
      <w:rFonts w:ascii="Wingdings" w:hAnsi="Wingdings" w:eastAsia="Wingdings"/>
    </w:rPr>
  </w:style>
  <w:style w:type="character" w:styleId="WW8Num27z0">
    <w:name w:val="WW8Num27z0"/>
    <w:qFormat/>
    <w:rPr>
      <w:rFonts w:ascii="Symbol" w:hAnsi="Symbol" w:eastAsia="Symbol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27z2">
    <w:name w:val="WW8Num27z2"/>
    <w:qFormat/>
    <w:rPr>
      <w:rFonts w:ascii="Wingdings" w:hAnsi="Wingdings" w:eastAsia="Wingdings"/>
    </w:rPr>
  </w:style>
  <w:style w:type="character" w:styleId="WW8Num28z0">
    <w:name w:val="WW8Num28z0"/>
    <w:qFormat/>
    <w:rPr>
      <w:rFonts w:ascii="Symbol" w:hAnsi="Symbol" w:eastAsia="Symbol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8z2">
    <w:name w:val="WW8Num28z2"/>
    <w:qFormat/>
    <w:rPr>
      <w:rFonts w:ascii="Wingdings" w:hAnsi="Wingdings" w:eastAsia="Wingdings"/>
    </w:rPr>
  </w:style>
  <w:style w:type="character" w:styleId="WW8Num29z0">
    <w:name w:val="WW8Num29z0"/>
    <w:qFormat/>
    <w:rPr>
      <w:rFonts w:ascii="Symbol" w:hAnsi="Symbol" w:eastAsia="Symbol"/>
    </w:rPr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9z2">
    <w:name w:val="WW8Num29z2"/>
    <w:qFormat/>
    <w:rPr>
      <w:rFonts w:ascii="Wingdings" w:hAnsi="Wingdings" w:eastAsia="Wingdings"/>
    </w:rPr>
  </w:style>
  <w:style w:type="character" w:styleId="WW8Num30z0">
    <w:name w:val="WW8Num30z0"/>
    <w:qFormat/>
    <w:rPr>
      <w:rFonts w:ascii="Symbol" w:hAnsi="Symbol" w:eastAsia="Symbol"/>
    </w:rPr>
  </w:style>
  <w:style w:type="character" w:styleId="WW8Num30z1">
    <w:name w:val="WW8Num30z1"/>
    <w:qFormat/>
    <w:rPr>
      <w:rFonts w:ascii="Courier New" w:hAnsi="Courier New" w:eastAsia="Courier New"/>
    </w:rPr>
  </w:style>
  <w:style w:type="character" w:styleId="WW8Num30z2">
    <w:name w:val="WW8Num30z2"/>
    <w:qFormat/>
    <w:rPr>
      <w:rFonts w:ascii="Wingdings" w:hAnsi="Wingdings" w:eastAsia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eastAsia="Symbol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2z2">
    <w:name w:val="WW8Num32z2"/>
    <w:qFormat/>
    <w:rPr>
      <w:rFonts w:ascii="Wingdings" w:hAnsi="Wingdings" w:eastAsia="Wingdings"/>
    </w:rPr>
  </w:style>
  <w:style w:type="character" w:styleId="WW8Num33z0">
    <w:name w:val="WW8Num33z0"/>
    <w:qFormat/>
    <w:rPr>
      <w:rFonts w:ascii="Symbol" w:hAnsi="Symbol" w:eastAsia="Symbol"/>
      <w:color w:val="FF0000"/>
    </w:rPr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WW8Num33z2">
    <w:name w:val="WW8Num33z2"/>
    <w:qFormat/>
    <w:rPr>
      <w:rFonts w:ascii="Wingdings" w:hAnsi="Wingdings" w:eastAsia="Wingdings"/>
    </w:rPr>
  </w:style>
  <w:style w:type="character" w:styleId="WW8Num33z3">
    <w:name w:val="WW8Num33z3"/>
    <w:qFormat/>
    <w:rPr>
      <w:rFonts w:ascii="Symbol" w:hAnsi="Symbol" w:eastAsia="Symbol"/>
    </w:rPr>
  </w:style>
  <w:style w:type="character" w:styleId="WW8Num34z0">
    <w:name w:val="WW8Num34z0"/>
    <w:qFormat/>
    <w:rPr>
      <w:b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eastAsia="Symbol"/>
    </w:rPr>
  </w:style>
  <w:style w:type="character" w:styleId="WW8Num35z1">
    <w:name w:val="WW8Num35z1"/>
    <w:qFormat/>
    <w:rPr>
      <w:rFonts w:ascii="Courier New" w:hAnsi="Courier New" w:eastAsia="Courier New"/>
    </w:rPr>
  </w:style>
  <w:style w:type="character" w:styleId="WW8Num35z2">
    <w:name w:val="WW8Num35z2"/>
    <w:qFormat/>
    <w:rPr>
      <w:rFonts w:ascii="Wingdings" w:hAnsi="Wingdings" w:eastAsia="Wingdings"/>
    </w:rPr>
  </w:style>
  <w:style w:type="character" w:styleId="WW8Num36z0">
    <w:name w:val="WW8Num36z0"/>
    <w:qFormat/>
    <w:rPr>
      <w:rFonts w:ascii="Symbol" w:hAnsi="Symbol" w:eastAsia="Symbol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6z2">
    <w:name w:val="WW8Num36z2"/>
    <w:qFormat/>
    <w:rPr>
      <w:rFonts w:ascii="Wingdings" w:hAnsi="Wingdings" w:eastAsia="Wingdings"/>
    </w:rPr>
  </w:style>
  <w:style w:type="character" w:styleId="WW8Num37z0">
    <w:name w:val="WW8Num37z0"/>
    <w:qFormat/>
    <w:rPr>
      <w:rFonts w:ascii="Wingdings" w:hAnsi="Wingdings" w:eastAsia="Wingdings"/>
      <w:b/>
      <w:color w:val="FF0000"/>
    </w:rPr>
  </w:style>
  <w:style w:type="character" w:styleId="WW8Num37z1">
    <w:name w:val="WW8Num37z1"/>
    <w:qFormat/>
    <w:rPr>
      <w:rFonts w:ascii="Courier New" w:hAnsi="Courier New" w:eastAsia="Courier New"/>
    </w:rPr>
  </w:style>
  <w:style w:type="character" w:styleId="WW8Num37z2">
    <w:name w:val="WW8Num37z2"/>
    <w:qFormat/>
    <w:rPr>
      <w:rFonts w:ascii="Wingdings" w:hAnsi="Wingdings" w:eastAsia="Wingdings"/>
    </w:rPr>
  </w:style>
  <w:style w:type="character" w:styleId="WW8Num37z3">
    <w:name w:val="WW8Num37z3"/>
    <w:qFormat/>
    <w:rPr>
      <w:rFonts w:ascii="Symbol" w:hAnsi="Symbol" w:eastAsia="Symbol"/>
    </w:rPr>
  </w:style>
  <w:style w:type="character" w:styleId="Carpredefinitoparagrafo1">
    <w:name w:val="Car. predefinito paragrafo1"/>
    <w:qFormat/>
    <w:rPr/>
  </w:style>
  <w:style w:type="character" w:styleId="Strong">
    <w:name w:val="Strong"/>
    <w:qFormat/>
    <w:rPr>
      <w:b/>
    </w:rPr>
  </w:style>
  <w:style w:type="character" w:styleId="Caratteredinumerazione">
    <w:name w:val="Carattere di numerazione"/>
    <w:qFormat/>
    <w:rPr/>
  </w:style>
  <w:style w:type="character" w:styleId="Fontstyle01">
    <w:name w:val="fontstyle01"/>
    <w:qFormat/>
    <w:rPr>
      <w:rFonts w:ascii="TimesNewRomanPSMT" w:hAnsi="TimesNewRomanPSMT" w:eastAsia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attereCarattere2">
    <w:name w:val="Carattere Carattere"/>
    <w:qFormat/>
    <w:rPr/>
  </w:style>
  <w:style w:type="character" w:styleId="CarattereCarattere11">
    <w:name w:val="Carattere Carattere1"/>
    <w:qFormat/>
    <w:rPr/>
  </w:style>
  <w:style w:type="character" w:styleId="Caratteridinumerazione">
    <w:name w:val="Caratteri di numerazione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1">
    <w:name w:val="WW8Num43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0z1">
    <w:name w:val="WW8Num40z1"/>
    <w:qFormat/>
    <w:rPr>
      <w:rFonts w:ascii="Courier New" w:hAnsi="Courier New" w:eastAsia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  <w:lang w:eastAsia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  <w:lang w:eastAsia="hi-IN"/>
    </w:rPr>
  </w:style>
  <w:style w:type="paragraph" w:styleId="Didascalia1">
    <w:name w:val="Didascali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hi-IN"/>
    </w:rPr>
  </w:style>
  <w:style w:type="paragraph" w:styleId="TestoGrassetto">
    <w:name w:val="Testo Grassett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b/>
      <w:color w:val="00000A"/>
      <w:kern w:val="0"/>
      <w:sz w:val="24"/>
      <w:szCs w:val="20"/>
      <w:lang w:val="it-IT" w:eastAsia="hi-IN" w:bidi="hi-IN"/>
    </w:rPr>
  </w:style>
  <w:style w:type="paragraph" w:styleId="Paragrafobase">
    <w:name w:val="[Paragrafo base]"/>
    <w:basedOn w:val="Normal"/>
    <w:qFormat/>
    <w:pPr>
      <w:widowControl w:val="false"/>
      <w:spacing w:lineRule="auto" w:line="288"/>
    </w:pPr>
    <w:rPr>
      <w:rFonts w:ascii="Times-Roman" w:hAnsi="Times-Roman" w:eastAsia="Times-Roman"/>
      <w:color w:val="000000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it-IT" w:eastAsia="hi-IN" w:bidi="hi-IN"/>
    </w:rPr>
  </w:style>
  <w:style w:type="paragraph" w:styleId="Western">
    <w:name w:val="western"/>
    <w:basedOn w:val="Normal"/>
    <w:qFormat/>
    <w:pPr>
      <w:spacing w:before="280" w:after="119"/>
    </w:pPr>
    <w:rPr>
      <w:color w:val="000000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Pa1">
    <w:name w:val="Pa1"/>
    <w:qFormat/>
    <w:pPr>
      <w:widowControl/>
      <w:suppressAutoHyphens w:val="true"/>
      <w:bidi w:val="0"/>
      <w:spacing w:lineRule="atLeast" w:line="241" w:before="0" w:after="0"/>
      <w:jc w:val="left"/>
    </w:pPr>
    <w:rPr>
      <w:rFonts w:ascii="EEXTH T+ Tiempos Headline" w:hAnsi="EEXTH T+ Tiempos Headline" w:eastAsia="EEXTH T+ Tiempos Headline" w:cs="Arial Unicode MS"/>
      <w:color w:val="000000"/>
      <w:kern w:val="0"/>
      <w:sz w:val="20"/>
      <w:szCs w:val="24"/>
      <w:lang w:val="it-IT" w:eastAsia="ar-SA" w:bidi="hi-IN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rFonts w:ascii="Times" w:hAnsi="Times" w:cs="Times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/>
</file>

<file path=customXml/itemProps2.xml><?xml version="1.0" encoding="utf-8"?>
<ds:datastoreItem xmlns:ds="http://schemas.openxmlformats.org/officeDocument/2006/customXml" ds:itemID="{A413630A-0CC5-4101-8A9D-72BFE378C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LibreOffice/6.4.7.2$Windows_x86 LibreOffice_project/639b8ac485750d5696d7590a72ef1b496725cfb5</Application>
  <Pages>3</Pages>
  <Words>653</Words>
  <Characters>3864</Characters>
  <CharactersWithSpaces>4604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dc:description/>
  <dc:language>it-IT</dc:language>
  <cp:lastModifiedBy/>
  <dcterms:modified xsi:type="dcterms:W3CDTF">2025-11-30T20:25:23Z</dcterms:modified>
  <cp:revision>114</cp:revision>
  <dc:subject/>
  <dc:title>Proposta licenziata dalla giunta DPC/2025/00059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