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>
          <w:b/>
          <w:bCs/>
        </w:rPr>
        <w:t xml:space="preserve">Risoluzione n. 00013/2024  - </w:t>
      </w:r>
      <w:r>
        <w:rPr>
          <w:b/>
        </w:rPr>
        <w:t>OGGETTO: PER FINANZIARE IL FONDO NAZIONALE PER IL CONTRASTO DEI DISTURBI DELLA NUTRIZIONE E DELL’ALIMENTAZIONE (DNA), E PER L’INSERIMENTO  DEI DNA NEI LEA – PROPONENTE: COMMISSIONE QUATTRO</w:t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rPr>
          <w:b/>
          <w:b/>
        </w:rPr>
      </w:pPr>
      <w:r>
        <w:rPr>
          <w:b/>
        </w:rPr>
      </w:r>
    </w:p>
    <w:p>
      <w:pPr>
        <w:pStyle w:val="Normal"/>
        <w:spacing w:lineRule="auto" w:line="276"/>
        <w:jc w:val="both"/>
        <w:rPr>
          <w:bCs/>
        </w:rPr>
      </w:pPr>
      <w:r>
        <w:rPr>
          <w:bCs/>
        </w:rPr>
      </w:r>
    </w:p>
    <w:p>
      <w:pPr>
        <w:pStyle w:val="Normal"/>
        <w:spacing w:lineRule="auto" w:line="276"/>
        <w:jc w:val="center"/>
        <w:rPr/>
      </w:pPr>
      <w:r>
        <w:rPr/>
        <w:t>(ai sensi dell’art. 42 del Regolamento del Consiglio Comunale)</w:t>
      </w:r>
    </w:p>
    <w:p>
      <w:pPr>
        <w:pStyle w:val="Normal"/>
        <w:spacing w:lineRule="auto" w:line="276"/>
        <w:jc w:val="center"/>
        <w:rPr/>
      </w:pPr>
      <w:r>
        <w:rPr/>
      </w:r>
    </w:p>
    <w:p>
      <w:pPr>
        <w:pStyle w:val="Normal"/>
        <w:spacing w:lineRule="auto" w:line="276"/>
        <w:jc w:val="center"/>
        <w:rPr>
          <w:b/>
          <w:b/>
          <w:bCs/>
        </w:rPr>
      </w:pPr>
      <w:r>
        <w:rPr>
          <w:b/>
          <w:bCs/>
        </w:rPr>
        <w:t>IL CONSIGLIO COMUNALE DI FIRENZE</w:t>
      </w:r>
    </w:p>
    <w:p>
      <w:pPr>
        <w:pStyle w:val="Normal"/>
        <w:spacing w:lineRule="auto" w:line="276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76"/>
        <w:jc w:val="both"/>
        <w:rPr>
          <w:b/>
          <w:b/>
          <w:bCs/>
        </w:rPr>
      </w:pPr>
      <w:r>
        <w:rPr>
          <w:b/>
          <w:bCs/>
        </w:rPr>
        <w:t>Vista la Risoluzione n. 00013/2024 - OGGETTO: PER FINANZIARE IL FONDO NAZIONALE PER IL CONTRASTO DEI DISTURBI DELLA NUTRIZIONE E DELL’ALIMENTAZIONE (DNA), E PER L’INSERIMENTO DEI DNA NEI LE</w:t>
      </w:r>
      <w:r>
        <w:rPr>
          <w:b/>
          <w:bCs/>
        </w:rPr>
        <w:t>A,</w:t>
      </w:r>
      <w:r>
        <w:rPr>
          <w:b/>
          <w:bCs/>
        </w:rPr>
        <w:t xml:space="preserve">  presentata dal Gruppo Consiliare: Italia Viva per il Terzo Polo, PROPONENTI: Barbara Felleca, Mimma Dardano;</w:t>
      </w:r>
    </w:p>
    <w:p>
      <w:pPr>
        <w:pStyle w:val="Normal"/>
        <w:spacing w:lineRule="auto" w:line="276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76"/>
        <w:jc w:val="both"/>
        <w:rPr>
          <w:b/>
          <w:b/>
          <w:bCs/>
        </w:rPr>
      </w:pPr>
      <w:r>
        <w:rPr>
          <w:b/>
          <w:bCs/>
        </w:rPr>
        <w:t>PRESO ATTO CHE</w:t>
      </w:r>
    </w:p>
    <w:p>
      <w:pPr>
        <w:pStyle w:val="Normal"/>
        <w:spacing w:lineRule="auto" w:line="276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ListParagraph"/>
        <w:numPr>
          <w:ilvl w:val="0"/>
          <w:numId w:val="2"/>
        </w:numPr>
        <w:spacing w:lineRule="auto" w:line="276"/>
        <w:jc w:val="both"/>
        <w:rPr/>
      </w:pPr>
      <w:r>
        <w:rPr/>
        <w:t xml:space="preserve">In Italia </w:t>
      </w:r>
      <w:r>
        <w:rPr>
          <w:b/>
          <w:bCs/>
        </w:rPr>
        <w:t>3,5 milioni di cittadini</w:t>
      </w:r>
      <w:r>
        <w:rPr/>
        <w:t xml:space="preserve"> presentano disturbi della nutrizione: i disturbi del comportamento alimentare (DCA) fanno la loro comparsa durante l’adolescenza (specialmente nella fascia tra i 14 e i 25 anni), anche se i recenti dati evidenziano che a soffrirne sono anche giovanissimi sotto i 13 anni e over 30. </w:t>
      </w:r>
    </w:p>
    <w:p>
      <w:pPr>
        <w:pStyle w:val="ListParagraph"/>
        <w:spacing w:lineRule="auto" w:line="276"/>
        <w:jc w:val="both"/>
        <w:rPr/>
      </w:pPr>
      <w:r>
        <w:rPr/>
        <w:t>Attualmente questi disturbi rappresentano un importante problema di salute pubblica, visto che per l’anoressia e per la bulimia, negli ultimi decenni, c’è stato un progressivo abbassamento dell’età di insorgenza, tanto che sono sempre più frequenti diagnosi in età preadolescenziale e nell’infanzia</w:t>
      </w:r>
    </w:p>
    <w:p>
      <w:pPr>
        <w:pStyle w:val="ListParagraph"/>
        <w:numPr>
          <w:ilvl w:val="0"/>
          <w:numId w:val="2"/>
        </w:numPr>
        <w:spacing w:lineRule="auto" w:line="276"/>
        <w:jc w:val="both"/>
        <w:rPr/>
      </w:pPr>
      <w:r>
        <w:rPr/>
        <w:t xml:space="preserve">In Italia nell’anno appena trascorso 2023 si sono verificati </w:t>
      </w:r>
      <w:r>
        <w:rPr>
          <w:b/>
          <w:bCs/>
        </w:rPr>
        <w:t>3.780 decessi</w:t>
      </w:r>
      <w:r>
        <w:rPr/>
        <w:t xml:space="preserve"> di persone affette da disturbi del comportamento alimentare (l’età media dei decessi è di 25 anni), ed il bilancio delle vittime è certamente falsato al ribasso, perché nel </w:t>
      </w:r>
      <w:r>
        <w:rPr>
          <w:b/>
          <w:bCs/>
        </w:rPr>
        <w:t xml:space="preserve">40% dei casi i DCA non sono diagnosticati; </w:t>
      </w:r>
      <w:r>
        <w:rPr/>
        <w:t>sarebbero circa 9.000 i pazienti presi in carico per DCA</w:t>
      </w:r>
    </w:p>
    <w:p>
      <w:pPr>
        <w:pStyle w:val="ListParagraph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>
          <w:b/>
          <w:b/>
          <w:bCs/>
        </w:rPr>
      </w:pPr>
      <w:r>
        <w:rPr>
          <w:b/>
          <w:bCs/>
        </w:rPr>
        <w:t>CONSTATATO CHE</w:t>
      </w:r>
    </w:p>
    <w:p>
      <w:pPr>
        <w:pStyle w:val="Normal"/>
        <w:spacing w:lineRule="auto" w:line="276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ListParagraph"/>
        <w:numPr>
          <w:ilvl w:val="0"/>
          <w:numId w:val="2"/>
        </w:numPr>
        <w:spacing w:lineRule="auto" w:line="276"/>
        <w:jc w:val="both"/>
        <w:rPr/>
      </w:pPr>
      <w:r>
        <w:rPr/>
        <w:t xml:space="preserve">Il Governo guidato da Giorgia Meloni ha scelto, nella </w:t>
      </w:r>
      <w:r>
        <w:rPr>
          <w:b/>
          <w:bCs/>
        </w:rPr>
        <w:t>Legge di Bilancio 2024</w:t>
      </w:r>
      <w:r>
        <w:rPr/>
        <w:t xml:space="preserve">, di </w:t>
      </w:r>
      <w:r>
        <w:rPr>
          <w:b/>
          <w:bCs/>
        </w:rPr>
        <w:t>cancellare il Fondo</w:t>
      </w:r>
      <w:r>
        <w:rPr/>
        <w:t xml:space="preserve"> nazionale per il contrasto dei Disturbi della Nutrizione e dell'Alimentazione, un taglio che allarma e sconcerta, poiché le patologie legate ai DCA sono in crescita esponenziale, e costituiscono la seconda causa di morte dopo gli incidenti stradali tra i giovani.  </w:t>
      </w:r>
    </w:p>
    <w:p>
      <w:pPr>
        <w:pStyle w:val="ListParagraph"/>
        <w:numPr>
          <w:ilvl w:val="0"/>
          <w:numId w:val="2"/>
        </w:numPr>
        <w:spacing w:lineRule="auto" w:line="276"/>
        <w:jc w:val="both"/>
        <w:rPr/>
      </w:pPr>
      <w:r>
        <w:rPr/>
        <w:t xml:space="preserve">Il Covid aveva peraltro già messo a dura prova pazienti e strutture, destabilizzando tutti i percorsi di cura per dare precedenza all'emergenza pandemica: molti ambulatori dedicati ai DCA furono chiusi, i  trattamenti sospesi e i posti letto dedicati ai pazienti affetti da Disturbi dell'Alimentazione e Nutrizione (DAN) destinati alla cura del Covid-19. </w:t>
      </w:r>
    </w:p>
    <w:p>
      <w:pPr>
        <w:pStyle w:val="ListParagraph"/>
        <w:spacing w:lineRule="auto" w:line="276"/>
        <w:jc w:val="both"/>
        <w:rPr/>
      </w:pPr>
      <w:r>
        <w:rPr/>
        <w:t xml:space="preserve">Una pandemia nella pandemia, visto che le persone che soffrivano di DCA si sono aggravate, hanno avuto ricadute, in molti casi le cure sono state sospese e le domande di cura per i nuovi casi spesso sono state inevase; negli ultimi anni i disturbi del comportamento alimentare sono aumentati anche tra i giovanissimi </w:t>
      </w:r>
    </w:p>
    <w:p>
      <w:pPr>
        <w:pStyle w:val="Normal"/>
        <w:spacing w:lineRule="auto" w:line="276"/>
        <w:ind w:firstLine="708"/>
        <w:jc w:val="both"/>
        <w:rPr/>
      </w:pPr>
      <w:r>
        <w:rPr/>
      </w:r>
    </w:p>
    <w:p>
      <w:pPr>
        <w:pStyle w:val="Normal"/>
        <w:spacing w:lineRule="auto" w:line="276"/>
        <w:jc w:val="both"/>
        <w:rPr>
          <w:b/>
          <w:b/>
          <w:bCs/>
        </w:rPr>
      </w:pPr>
      <w:r>
        <w:rPr>
          <w:b/>
          <w:bCs/>
        </w:rPr>
        <w:t>EVIDENZIATO CHE</w:t>
      </w:r>
    </w:p>
    <w:p>
      <w:pPr>
        <w:pStyle w:val="Normal"/>
        <w:spacing w:lineRule="auto" w:line="276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/>
      </w:pPr>
      <w:r>
        <w:rPr/>
        <w:t xml:space="preserve">La Legge di bilancio 30 dicembre 2021, n. 234 aveva previsto, nelle more dell’aggiornamento dei Livelli Essenziali di Assistenza LEA, l’istituzione, presso il Ministero della Salute, di un </w:t>
      </w:r>
      <w:r>
        <w:rPr>
          <w:b/>
          <w:bCs/>
        </w:rPr>
        <w:t>Fondo per il contrasto dei Disturbi della Nutrizione e dell’Alimentazione con dotazione di 25 milioni di euro per gli anni 2022 e 2023</w:t>
      </w:r>
      <w:r>
        <w:rPr/>
        <w:t>.</w:t>
      </w:r>
    </w:p>
    <w:p>
      <w:pPr>
        <w:pStyle w:val="ListParagraph"/>
        <w:spacing w:lineRule="auto" w:line="276"/>
        <w:jc w:val="both"/>
        <w:rPr/>
      </w:pPr>
      <w:r>
        <w:rPr/>
        <w:t>Tale Fondo ha consentito il finanziamento di Piani di intervento regionali e provinciali volti al miglioramento dell’assistenza alle persone con DNA, sia in termini di efficacia clinica che di adeguamento organizzativo;</w:t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/>
      </w:pPr>
      <w:r>
        <w:rPr/>
        <w:t>Il Fondo di 25 milioni ha permesso di implementare i servizi esistenti, di aprire nuovi ambulatori specializzati nella cura per tutti, anche per coloro che non possono permettersi i costi richiesti da una struttura privata, e per ampliarne i servizi; quanto al personale specializzato, fino ad oggi sono stati assunti 780 professionisti tra psicologi, psichiatri e neuropsichiatri infantili, infermieri, dietisti e nutrizionisti e medici specialisti in nutrizione clinica</w:t>
      </w:r>
    </w:p>
    <w:p>
      <w:pPr>
        <w:pStyle w:val="ListParagraph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>
          <w:b/>
          <w:b/>
          <w:bCs/>
        </w:rPr>
      </w:pPr>
      <w:r>
        <w:rPr>
          <w:b/>
          <w:bCs/>
        </w:rPr>
        <w:t>CONSTATATO CHE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/>
      </w:pPr>
      <w:r>
        <w:rPr/>
        <w:t>In Italia, le strutture dedicate alla cura dei pazienti affetti da DCA sono solo 126 (di cui 112 pubbliche e 14 private accreditate), e neppure distribuite uniformemente sul territorio.</w:t>
      </w:r>
    </w:p>
    <w:p>
      <w:pPr>
        <w:pStyle w:val="ListParagraph"/>
        <w:spacing w:lineRule="auto" w:line="276"/>
        <w:jc w:val="both"/>
        <w:rPr/>
      </w:pPr>
      <w:r>
        <w:rPr/>
        <w:t xml:space="preserve">Quasi la metà dei centri, 63, si trovano nel Nord Italia: 20 in Emilia-Romagna e 15 in Lombardia. </w:t>
      </w:r>
    </w:p>
    <w:p>
      <w:pPr>
        <w:pStyle w:val="ListParagraph"/>
        <w:spacing w:lineRule="auto" w:line="276"/>
        <w:jc w:val="both"/>
        <w:rPr/>
      </w:pPr>
      <w:r>
        <w:rPr/>
        <w:t xml:space="preserve">Al Centro il numero si dimezza quasi, arrivando a 23 centri, di cui 8 nel Lazio e 6 in Umbria. Altri 40 ambulatori sono distribuiti tra Sud e Isole: 12 in Campania e 7 in Sicilia. </w:t>
      </w:r>
    </w:p>
    <w:p>
      <w:pPr>
        <w:pStyle w:val="ListParagraph"/>
        <w:spacing w:lineRule="auto" w:line="276"/>
        <w:jc w:val="both"/>
        <w:rPr/>
      </w:pPr>
      <w:r>
        <w:rPr/>
        <w:t xml:space="preserve">Nessuna struttura nella Regione Molise, mentre Puglia, Sardegna, Abruzzo e Calabria ne hanno un paio appena. </w:t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/>
      </w:pPr>
      <w:r>
        <w:rPr/>
        <w:t>Il taglio al Fondo operato dal Governo Meloni nell’ultima Legge di Bilancio 2024 mette a rischio l’esistenza delle strutture e delle professionalità esistenti, con il rischio di lasciare senza cure i pazienti presi in carico, ed i troppi nuovi casi in crescita soprattutto tra i giovanissimi, creando un vulnus pericoloso che mette a rischio la salute e la cura, soprattutto dei giovani</w:t>
      </w:r>
    </w:p>
    <w:p>
      <w:pPr>
        <w:pStyle w:val="Normal"/>
        <w:spacing w:lineRule="auto" w:line="276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76"/>
        <w:jc w:val="both"/>
        <w:rPr>
          <w:b/>
          <w:b/>
          <w:bCs/>
        </w:rPr>
      </w:pPr>
      <w:r>
        <w:rPr>
          <w:b/>
          <w:bCs/>
        </w:rPr>
        <w:t xml:space="preserve">RITENUTO CHE </w:t>
      </w:r>
    </w:p>
    <w:p>
      <w:pPr>
        <w:pStyle w:val="Normal"/>
        <w:spacing w:lineRule="auto" w:line="276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/>
      </w:pPr>
      <w:r>
        <w:rPr/>
        <w:t xml:space="preserve">C’è bisogno, in Italia, di avere </w:t>
      </w:r>
      <w:r>
        <w:rPr>
          <w:b/>
          <w:bCs/>
        </w:rPr>
        <w:t>strutture specializzate</w:t>
      </w:r>
      <w:r>
        <w:rPr/>
        <w:t xml:space="preserve"> per curare adeguatamente i pazienti che sono sempre di più e più giovani: anoressia, bulimia e tutti i disturbi alimentari sono patologie molto complesse che riguardano la psiche e il corpo, sono patologie relativamente nuove, e solo i medici specializzati hanno strumenti all’avanguardia e le competenze per riconoscere e affrontare la complessità di tali disturbi</w:t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/>
      </w:pPr>
      <w:r>
        <w:rPr/>
        <w:t xml:space="preserve">E’ necessario altresì che le aree dedicata ai Disturbi della Nutrizione dell’Alimentazione (DAN) siano inserite nella rete dei LEA, i Livelli essenziali di assistenza, ovvero le prestazioni e i servizi che il Servizio sanitario nazionale (SSN) è tenuto a fornire a tutti i cittadini, gratuitamente o dietro pagamento del “ticket”. </w:t>
      </w:r>
    </w:p>
    <w:p>
      <w:pPr>
        <w:pStyle w:val="Normal"/>
        <w:spacing w:lineRule="auto" w:line="276"/>
        <w:ind w:left="360" w:hanging="0"/>
        <w:jc w:val="both"/>
        <w:rPr/>
      </w:pPr>
      <w:r>
        <w:rPr/>
      </w:r>
    </w:p>
    <w:p>
      <w:pPr>
        <w:pStyle w:val="Normal"/>
        <w:spacing w:lineRule="auto" w:line="276"/>
        <w:ind w:left="360" w:hanging="0"/>
        <w:jc w:val="center"/>
        <w:rPr>
          <w:b/>
          <w:b/>
          <w:bCs/>
        </w:rPr>
      </w:pPr>
      <w:r>
        <w:rPr>
          <w:b/>
          <w:bCs/>
        </w:rPr>
        <w:t>INVITA IL PARLAMENTO ITALIANO ED IL GOVERNO</w:t>
      </w:r>
    </w:p>
    <w:p>
      <w:pPr>
        <w:pStyle w:val="Normal"/>
        <w:spacing w:lineRule="auto" w:line="276"/>
        <w:ind w:firstLine="708"/>
        <w:jc w:val="both"/>
        <w:rPr/>
      </w:pPr>
      <w:r>
        <w:rPr/>
        <w:t>- A ripristinare il Fondo nazionale per il contrasto dei Disturbi della Nutrizione e dell'Alimentazione, con adeguato stanziamento di risorse che garantisca almeno l’attuale livello di servizi e personale specializzato</w:t>
      </w:r>
    </w:p>
    <w:p>
      <w:pPr>
        <w:pStyle w:val="Normal"/>
        <w:spacing w:lineRule="auto" w:line="276"/>
        <w:ind w:firstLine="708"/>
        <w:jc w:val="both"/>
        <w:rPr/>
      </w:pPr>
      <w:r>
        <w:rPr/>
        <w:t>-  A riconoscere entro il 31 Ottobre 2024 autonomamente (e cioè fuori dall’area di salute Mentale) i Disturbi del Comportamento alimentare e della nutrizione nei LEA per garantire prestazioni sanitarie e sociosanitarie adeguate ai singoli casi.</w:t>
      </w:r>
    </w:p>
    <w:p>
      <w:pPr>
        <w:pStyle w:val="Normal"/>
        <w:spacing w:lineRule="auto" w:line="360"/>
        <w:jc w:val="both"/>
        <w:rPr>
          <w:bCs/>
        </w:rPr>
      </w:pPr>
      <w:r>
        <w:rPr>
          <w:bCs/>
        </w:rPr>
      </w:r>
    </w:p>
    <w:p>
      <w:pPr>
        <w:pStyle w:val="Normal"/>
        <w:spacing w:lineRule="auto" w:line="360"/>
        <w:jc w:val="both"/>
        <w:rPr>
          <w:bCs/>
        </w:rPr>
      </w:pPr>
      <w:r>
        <w:rPr>
          <w:bCs/>
        </w:rPr>
      </w:r>
    </w:p>
    <w:p>
      <w:pPr>
        <w:pStyle w:val="Normal"/>
        <w:spacing w:lineRule="auto" w:line="360"/>
        <w:jc w:val="both"/>
        <w:rPr>
          <w:bCs/>
        </w:rPr>
      </w:pPr>
      <w:r>
        <w:rPr/>
        <w:t>COMMISSIONE QUATTRO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899" w:top="1958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Garamond">
    <w:charset w:val="00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left="180" w:hanging="0"/>
      <w:rPr>
        <w:color w:val="FF0000"/>
        <w:sz w:val="22"/>
      </w:rPr>
    </w:pPr>
    <w:r>
      <w:rPr>
        <w:color w:val="FF0000"/>
        <w:sz w:val="22"/>
      </w:rPr>
      <w:t>_____________________________________________________________________________________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exact" w:line="260"/>
      <w:ind w:left="3238" w:hanging="0"/>
      <w:jc w:val="right"/>
      <w:rPr>
        <w:rFonts w:ascii="Garamond" w:hAnsi="Garamond" w:eastAsia="Times New Roman" w:cs="Times New Roman"/>
        <w:b/>
        <w:b/>
        <w:color w:val="auto"/>
        <w:kern w:val="0"/>
        <w:sz w:val="24"/>
        <w:szCs w:val="24"/>
        <w:lang w:val="it-IT" w:eastAsia="it-IT" w:bidi="ar-SA"/>
      </w:rPr>
    </w:pPr>
    <w:r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-342265</wp:posOffset>
          </wp:positionH>
          <wp:positionV relativeFrom="paragraph">
            <wp:posOffset>100965</wp:posOffset>
          </wp:positionV>
          <wp:extent cx="1532255" cy="766445"/>
          <wp:effectExtent l="0" t="0" r="0" b="0"/>
          <wp:wrapNone/>
          <wp:docPr id="1" name="Pictur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32255" cy="766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 w:cs="Times New Roman" w:ascii="Garamond" w:hAnsi="Garamond"/>
        <w:b/>
        <w:color w:val="auto"/>
        <w:kern w:val="0"/>
        <w:sz w:val="24"/>
        <w:szCs w:val="24"/>
        <w:lang w:val="it-IT" w:eastAsia="it-IT" w:bidi="ar-SA"/>
      </w:rPr>
      <w:t>C</w:t>
    </w:r>
    <w:r>
      <w:rPr>
        <w:rFonts w:eastAsia="Times New Roman" w:cs="Times New Roman" w:ascii="Garamond" w:hAnsi="Garamond"/>
        <w:b/>
        <w:color w:val="auto"/>
        <w:kern w:val="0"/>
        <w:sz w:val="24"/>
        <w:szCs w:val="24"/>
        <w:lang w:val="it-IT" w:eastAsia="it-IT" w:bidi="ar-SA"/>
      </w:rPr>
      <w:t>OMMISSIONE QUATTRO</w:t>
    </w:r>
  </w:p>
  <w:p>
    <w:pPr>
      <w:pStyle w:val="Normal"/>
      <w:spacing w:lineRule="exact" w:line="260"/>
      <w:ind w:left="3238" w:hanging="0"/>
      <w:jc w:val="right"/>
      <w:rPr>
        <w:rFonts w:ascii="Garamond" w:hAnsi="Garamond" w:eastAsia="Times New Roman" w:cs="Times New Roman"/>
        <w:b/>
        <w:b/>
        <w:color w:val="auto"/>
        <w:kern w:val="0"/>
        <w:sz w:val="24"/>
        <w:szCs w:val="24"/>
        <w:lang w:val="it-IT" w:eastAsia="it-IT" w:bidi="ar-SA"/>
      </w:rPr>
    </w:pPr>
    <w:r>
      <w:rPr>
        <w:rFonts w:eastAsia="Times New Roman" w:cs="Times New Roman" w:ascii="Garamond" w:hAnsi="Garamond"/>
        <w:b/>
        <w:color w:val="auto"/>
        <w:kern w:val="0"/>
        <w:sz w:val="24"/>
        <w:szCs w:val="24"/>
        <w:lang w:val="it-IT" w:eastAsia="it-IT" w:bidi="ar-SA"/>
      </w:rPr>
      <w:t>POLITICHE SOCIALI E DELLA SALUTE, SANITA’ E SERVIZI SOCIALI</w:t>
    </w:r>
  </w:p>
  <w:p>
    <w:pPr>
      <w:pStyle w:val="Normal"/>
      <w:spacing w:lineRule="exact" w:line="260"/>
      <w:ind w:left="3238" w:hanging="0"/>
      <w:jc w:val="right"/>
      <w:rPr>
        <w:rFonts w:ascii="Garamond" w:hAnsi="Garamond"/>
        <w:sz w:val="16"/>
        <w:szCs w:val="16"/>
      </w:rPr>
    </w:pPr>
    <w:r>
      <w:rPr>
        <w:rFonts w:ascii="Garamond" w:hAnsi="Garamond"/>
        <w:sz w:val="16"/>
        <w:szCs w:val="16"/>
      </w:rPr>
    </w:r>
  </w:p>
  <w:p>
    <w:pPr>
      <w:pStyle w:val="Normal"/>
      <w:spacing w:before="120" w:after="120"/>
      <w:ind w:left="181" w:hanging="0"/>
      <w:jc w:val="right"/>
      <w:rPr>
        <w:color w:val="FF0000"/>
        <w:sz w:val="22"/>
      </w:rPr>
    </w:pPr>
    <w:r>
      <w:rPr>
        <w:color w:val="FF0000"/>
        <w:sz w:val="22"/>
      </w:rPr>
    </w:r>
  </w:p>
  <w:p>
    <w:pPr>
      <w:pStyle w:val="Normal"/>
      <w:ind w:left="180" w:firstLine="180"/>
      <w:rPr>
        <w:color w:val="FF0000"/>
        <w:sz w:val="22"/>
      </w:rPr>
    </w:pPr>
    <w:r>
      <w:rPr>
        <w:color w:val="FF0000"/>
        <w:sz w:val="22"/>
      </w:rPr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column">
                <wp:posOffset>228600</wp:posOffset>
              </wp:positionH>
              <wp:positionV relativeFrom="paragraph">
                <wp:posOffset>19685</wp:posOffset>
              </wp:positionV>
              <wp:extent cx="4177030" cy="3175"/>
              <wp:effectExtent l="0" t="0" r="0" b="0"/>
              <wp:wrapNone/>
              <wp:docPr id="2" name="Connettore diritt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76360" cy="18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8pt,1.55pt" to="346.8pt,1.65pt" ID="Connettore diritto 1" stroked="t" style="position:absolute">
              <v:stroke color="red" joinstyle="round" endcap="flat"/>
              <v:fill o:detectmouseclick="t" on="false"/>
            </v:line>
          </w:pict>
        </mc:Fallback>
      </mc:AlternateContent>
    </w:r>
  </w:p>
  <w:p>
    <w:pPr>
      <w:pStyle w:val="Intestazion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/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1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locked="0" w:unhideWhenUsed="0"/>
    <w:lsdException w:name="No Spacing" w:locked="0" w:uiPriority="1" w:semiHidden="0" w:unhideWhenUsed="0" w:qFormat="1"/>
    <w:lsdException w:name="Light Shading" w:locked="0" w:uiPriority="60" w:semiHidden="0" w:unhideWhenUsed="0"/>
    <w:lsdException w:name="Light List" w:locked="0" w:uiPriority="61" w:semiHidden="0" w:unhideWhenUsed="0"/>
    <w:lsdException w:name="Light Grid" w:locked="0" w:uiPriority="62" w:semiHidden="0" w:unhideWhenUsed="0"/>
    <w:lsdException w:name="Medium Shading 1" w:locked="0" w:uiPriority="63" w:semiHidden="0" w:unhideWhenUsed="0"/>
    <w:lsdException w:name="Medium Shading 2" w:locked="0" w:uiPriority="64" w:semiHidden="0" w:unhideWhenUsed="0"/>
    <w:lsdException w:name="Medium List 1" w:locked="0" w:uiPriority="65" w:semiHidden="0" w:unhideWhenUsed="0"/>
    <w:lsdException w:name="Medium List 2" w:locked="0" w:uiPriority="66" w:semiHidden="0" w:unhideWhenUsed="0"/>
    <w:lsdException w:name="Medium Grid 1" w:locked="0" w:uiPriority="67" w:semiHidden="0" w:unhideWhenUsed="0"/>
    <w:lsdException w:name="Medium Grid 2" w:locked="0" w:uiPriority="68" w:semiHidden="0" w:unhideWhenUsed="0"/>
    <w:lsdException w:name="Medium Grid 3" w:locked="0" w:uiPriority="69" w:semiHidden="0" w:unhideWhenUsed="0"/>
    <w:lsdException w:name="Dark List" w:locked="0" w:uiPriority="70" w:semiHidden="0" w:unhideWhenUsed="0"/>
    <w:lsdException w:name="Colorful Shading" w:locked="0" w:uiPriority="71" w:semiHidden="0" w:unhideWhenUsed="0"/>
    <w:lsdException w:name="Colorful List" w:locked="0" w:uiPriority="72" w:semiHidden="0" w:unhideWhenUsed="0"/>
    <w:lsdException w:name="Colorful Grid" w:locked="0" w:uiPriority="73" w:semiHidden="0" w:unhideWhenUsed="0"/>
    <w:lsdException w:name="Light Shading Accent 1" w:locked="0" w:uiPriority="60" w:semiHidden="0" w:unhideWhenUsed="0"/>
    <w:lsdException w:name="Light List Accent 1" w:locked="0" w:uiPriority="61" w:semiHidden="0" w:unhideWhenUsed="0"/>
    <w:lsdException w:name="Light Grid Accent 1" w:locked="0" w:uiPriority="62" w:semiHidden="0" w:unhideWhenUsed="0"/>
    <w:lsdException w:name="Medium Shading 1 Accent 1" w:locked="0" w:uiPriority="63" w:semiHidden="0" w:unhideWhenUsed="0"/>
    <w:lsdException w:name="Medium Shading 2 Accent 1" w:locked="0" w:uiPriority="64" w:semiHidden="0" w:unhideWhenUsed="0"/>
    <w:lsdException w:name="Medium List 1 Accent 1" w:locked="0" w:uiPriority="65" w:semiHidden="0" w:unhideWhenUsed="0"/>
    <w:lsdException w:name="Revision" w:locked="0" w:unhideWhenUsed="0"/>
    <w:lsdException w:name="List Paragraph" w:locked="0" w:uiPriority="34" w:semiHidden="0" w:unhideWhenUsed="0" w:qFormat="1"/>
    <w:lsdException w:name="Quote" w:locked="0" w:uiPriority="29" w:semiHidden="0" w:unhideWhenUsed="0" w:qFormat="1"/>
    <w:lsdException w:name="Intense Quote" w:locked="0" w:uiPriority="30" w:semiHidden="0" w:unhideWhenUsed="0" w:qFormat="1"/>
    <w:lsdException w:name="Medium List 2 Accent 1" w:locked="0" w:uiPriority="66" w:semiHidden="0" w:unhideWhenUsed="0"/>
    <w:lsdException w:name="Medium Grid 1 Accent 1" w:locked="0" w:uiPriority="67" w:semiHidden="0" w:unhideWhenUsed="0"/>
    <w:lsdException w:name="Medium Grid 2 Accent 1" w:locked="0" w:uiPriority="68" w:semiHidden="0" w:unhideWhenUsed="0"/>
    <w:lsdException w:name="Medium Grid 3 Accent 1" w:locked="0" w:uiPriority="69" w:semiHidden="0" w:unhideWhenUsed="0"/>
    <w:lsdException w:name="Dark List Accent 1" w:locked="0" w:uiPriority="70" w:semiHidden="0" w:unhideWhenUsed="0"/>
    <w:lsdException w:name="Colorful Shading Accent 1" w:locked="0" w:uiPriority="71" w:semiHidden="0" w:unhideWhenUsed="0"/>
    <w:lsdException w:name="Colorful List Accent 1" w:locked="0" w:uiPriority="72" w:semiHidden="0" w:unhideWhenUsed="0"/>
    <w:lsdException w:name="Colorful Grid Accent 1" w:locked="0" w:uiPriority="73" w:semiHidden="0" w:unhideWhenUsed="0"/>
    <w:lsdException w:name="Light Shading Accent 2" w:locked="0" w:uiPriority="60" w:semiHidden="0" w:unhideWhenUsed="0"/>
    <w:lsdException w:name="Light List Accent 2" w:locked="0" w:uiPriority="61" w:semiHidden="0" w:unhideWhenUsed="0"/>
    <w:lsdException w:name="Light Grid Accent 2" w:locked="0" w:uiPriority="62" w:semiHidden="0" w:unhideWhenUsed="0"/>
    <w:lsdException w:name="Medium Shading 1 Accent 2" w:locked="0" w:uiPriority="63" w:semiHidden="0" w:unhideWhenUsed="0"/>
    <w:lsdException w:name="Medium Shading 2 Accent 2" w:locked="0" w:uiPriority="64" w:semiHidden="0" w:unhideWhenUsed="0"/>
    <w:lsdException w:name="Medium List 1 Accent 2" w:locked="0" w:uiPriority="65" w:semiHidden="0" w:unhideWhenUsed="0"/>
    <w:lsdException w:name="Medium List 2 Accent 2" w:locked="0" w:uiPriority="66" w:semiHidden="0" w:unhideWhenUsed="0"/>
    <w:lsdException w:name="Medium Grid 1 Accent 2" w:locked="0" w:uiPriority="67" w:semiHidden="0" w:unhideWhenUsed="0"/>
    <w:lsdException w:name="Medium Grid 2 Accent 2" w:locked="0" w:uiPriority="68" w:semiHidden="0" w:unhideWhenUsed="0"/>
    <w:lsdException w:name="Medium Grid 3 Accent 2" w:locked="0" w:uiPriority="69" w:semiHidden="0" w:unhideWhenUsed="0"/>
    <w:lsdException w:name="Dark List Accent 2" w:locked="0" w:uiPriority="70" w:semiHidden="0" w:unhideWhenUsed="0"/>
    <w:lsdException w:name="Colorful Shading Accent 2" w:locked="0" w:uiPriority="71" w:semiHidden="0" w:unhideWhenUsed="0"/>
    <w:lsdException w:name="Colorful List Accent 2" w:locked="0" w:uiPriority="72" w:semiHidden="0" w:unhideWhenUsed="0"/>
    <w:lsdException w:name="Colorful Grid Accent 2" w:locked="0" w:uiPriority="73" w:semiHidden="0" w:unhideWhenUsed="0"/>
    <w:lsdException w:name="Light Shading Accent 3" w:locked="0" w:uiPriority="60" w:semiHidden="0" w:unhideWhenUsed="0"/>
    <w:lsdException w:name="Light List Accent 3" w:locked="0" w:uiPriority="61" w:semiHidden="0" w:unhideWhenUsed="0"/>
    <w:lsdException w:name="Light Grid Accent 3" w:locked="0" w:uiPriority="62" w:semiHidden="0" w:unhideWhenUsed="0"/>
    <w:lsdException w:name="Medium Shading 1 Accent 3" w:locked="0" w:uiPriority="63" w:semiHidden="0" w:unhideWhenUsed="0"/>
    <w:lsdException w:name="Medium Shading 2 Accent 3" w:locked="0" w:uiPriority="64" w:semiHidden="0" w:unhideWhenUsed="0"/>
    <w:lsdException w:name="Medium List 1 Accent 3" w:locked="0" w:uiPriority="65" w:semiHidden="0" w:unhideWhenUsed="0"/>
    <w:lsdException w:name="Medium List 2 Accent 3" w:locked="0" w:uiPriority="66" w:semiHidden="0" w:unhideWhenUsed="0"/>
    <w:lsdException w:name="Medium Grid 1 Accent 3" w:locked="0" w:uiPriority="67" w:semiHidden="0" w:unhideWhenUsed="0"/>
    <w:lsdException w:name="Medium Grid 2 Accent 3" w:locked="0" w:uiPriority="68" w:semiHidden="0" w:unhideWhenUsed="0"/>
    <w:lsdException w:name="Medium Grid 3 Accent 3" w:locked="0" w:uiPriority="69" w:semiHidden="0" w:unhideWhenUsed="0"/>
    <w:lsdException w:name="Dark List Accent 3" w:locked="0" w:uiPriority="70" w:semiHidden="0" w:unhideWhenUsed="0"/>
    <w:lsdException w:name="Colorful Shading Accent 3" w:locked="0" w:uiPriority="71" w:semiHidden="0" w:unhideWhenUsed="0"/>
    <w:lsdException w:name="Colorful List Accent 3" w:locked="0" w:uiPriority="72" w:semiHidden="0" w:unhideWhenUsed="0"/>
    <w:lsdException w:name="Colorful Grid Accent 3" w:locked="0" w:uiPriority="73" w:semiHidden="0" w:unhideWhenUsed="0"/>
    <w:lsdException w:name="Light Shading Accent 4" w:locked="0" w:uiPriority="60" w:semiHidden="0" w:unhideWhenUsed="0"/>
    <w:lsdException w:name="Light List Accent 4" w:locked="0" w:uiPriority="61" w:semiHidden="0" w:unhideWhenUsed="0"/>
    <w:lsdException w:name="Light Grid Accent 4" w:locked="0" w:uiPriority="62" w:semiHidden="0" w:unhideWhenUsed="0"/>
    <w:lsdException w:name="Medium Shading 1 Accent 4" w:locked="0" w:uiPriority="63" w:semiHidden="0" w:unhideWhenUsed="0"/>
    <w:lsdException w:name="Medium Shading 2 Accent 4" w:locked="0" w:uiPriority="64" w:semiHidden="0" w:unhideWhenUsed="0"/>
    <w:lsdException w:name="Medium List 1 Accent 4" w:locked="0" w:uiPriority="65" w:semiHidden="0" w:unhideWhenUsed="0"/>
    <w:lsdException w:name="Medium List 2 Accent 4" w:locked="0" w:uiPriority="66" w:semiHidden="0" w:unhideWhenUsed="0"/>
    <w:lsdException w:name="Medium Grid 1 Accent 4" w:locked="0" w:uiPriority="67" w:semiHidden="0" w:unhideWhenUsed="0"/>
    <w:lsdException w:name="Medium Grid 2 Accent 4" w:locked="0" w:uiPriority="68" w:semiHidden="0" w:unhideWhenUsed="0"/>
    <w:lsdException w:name="Medium Grid 3 Accent 4" w:locked="0" w:uiPriority="69" w:semiHidden="0" w:unhideWhenUsed="0"/>
    <w:lsdException w:name="Dark List Accent 4" w:locked="0" w:uiPriority="70" w:semiHidden="0" w:unhideWhenUsed="0"/>
    <w:lsdException w:name="Colorful Shading Accent 4" w:locked="0" w:uiPriority="71" w:semiHidden="0" w:unhideWhenUsed="0"/>
    <w:lsdException w:name="Colorful List Accent 4" w:locked="0" w:uiPriority="72" w:semiHidden="0" w:unhideWhenUsed="0"/>
    <w:lsdException w:name="Colorful Grid Accent 4" w:locked="0" w:uiPriority="73" w:semiHidden="0" w:unhideWhenUsed="0"/>
    <w:lsdException w:name="Light Shading Accent 5" w:locked="0" w:uiPriority="60" w:semiHidden="0" w:unhideWhenUsed="0"/>
    <w:lsdException w:name="Light List Accent 5" w:locked="0" w:uiPriority="61" w:semiHidden="0" w:unhideWhenUsed="0"/>
    <w:lsdException w:name="Light Grid Accent 5" w:locked="0" w:uiPriority="62" w:semiHidden="0" w:unhideWhenUsed="0"/>
    <w:lsdException w:name="Medium Shading 1 Accent 5" w:locked="0" w:uiPriority="63" w:semiHidden="0" w:unhideWhenUsed="0"/>
    <w:lsdException w:name="Medium Shading 2 Accent 5" w:locked="0" w:uiPriority="64" w:semiHidden="0" w:unhideWhenUsed="0"/>
    <w:lsdException w:name="Medium List 1 Accent 5" w:locked="0" w:uiPriority="65" w:semiHidden="0" w:unhideWhenUsed="0"/>
    <w:lsdException w:name="Medium List 2 Accent 5" w:locked="0" w:uiPriority="66" w:semiHidden="0" w:unhideWhenUsed="0"/>
    <w:lsdException w:name="Medium Grid 1 Accent 5" w:locked="0" w:uiPriority="67" w:semiHidden="0" w:unhideWhenUsed="0"/>
    <w:lsdException w:name="Medium Grid 2 Accent 5" w:locked="0" w:uiPriority="68" w:semiHidden="0" w:unhideWhenUsed="0"/>
    <w:lsdException w:name="Medium Grid 3 Accent 5" w:locked="0" w:uiPriority="69" w:semiHidden="0" w:unhideWhenUsed="0"/>
    <w:lsdException w:name="Dark List Accent 5" w:locked="0" w:uiPriority="70" w:semiHidden="0" w:unhideWhenUsed="0"/>
    <w:lsdException w:name="Colorful Shading Accent 5" w:locked="0" w:uiPriority="71" w:semiHidden="0" w:unhideWhenUsed="0"/>
    <w:lsdException w:name="Colorful List Accent 5" w:locked="0" w:uiPriority="72" w:semiHidden="0" w:unhideWhenUsed="0"/>
    <w:lsdException w:name="Colorful Grid Accent 5" w:locked="0" w:uiPriority="73" w:semiHidden="0" w:unhideWhenUsed="0"/>
    <w:lsdException w:name="Light Shading Accent 6" w:locked="0" w:uiPriority="60" w:semiHidden="0" w:unhideWhenUsed="0"/>
    <w:lsdException w:name="Light List Accent 6" w:locked="0" w:uiPriority="61" w:semiHidden="0" w:unhideWhenUsed="0"/>
    <w:lsdException w:name="Light Grid Accent 6" w:locked="0" w:uiPriority="62" w:semiHidden="0" w:unhideWhenUsed="0"/>
    <w:lsdException w:name="Medium Shading 1 Accent 6" w:locked="0" w:uiPriority="63" w:semiHidden="0" w:unhideWhenUsed="0"/>
    <w:lsdException w:name="Medium Shading 2 Accent 6" w:locked="0" w:uiPriority="64" w:semiHidden="0" w:unhideWhenUsed="0"/>
    <w:lsdException w:name="Medium List 1 Accent 6" w:locked="0" w:uiPriority="65" w:semiHidden="0" w:unhideWhenUsed="0"/>
    <w:lsdException w:name="Medium List 2 Accent 6" w:locked="0" w:uiPriority="66" w:semiHidden="0" w:unhideWhenUsed="0"/>
    <w:lsdException w:name="Medium Grid 1 Accent 6" w:locked="0" w:uiPriority="67" w:semiHidden="0" w:unhideWhenUsed="0"/>
    <w:lsdException w:name="Medium Grid 2 Accent 6" w:locked="0" w:uiPriority="68" w:semiHidden="0" w:unhideWhenUsed="0"/>
    <w:lsdException w:name="Medium Grid 3 Accent 6" w:locked="0" w:uiPriority="69" w:semiHidden="0" w:unhideWhenUsed="0"/>
    <w:lsdException w:name="Dark List Accent 6" w:locked="0" w:uiPriority="70" w:semiHidden="0" w:unhideWhenUsed="0"/>
    <w:lsdException w:name="Colorful Shading Accent 6" w:locked="0" w:uiPriority="71" w:semiHidden="0" w:unhideWhenUsed="0"/>
    <w:lsdException w:name="Colorful List Accent 6" w:locked="0" w:uiPriority="72" w:semiHidden="0" w:unhideWhenUsed="0"/>
    <w:lsdException w:name="Colorful Grid Accent 6" w:locked="0" w:uiPriority="73" w:semiHidden="0" w:unhideWhenUsed="0"/>
    <w:lsdException w:name="Subtle Emphasis" w:locked="0" w:uiPriority="19" w:semiHidden="0" w:unhideWhenUsed="0" w:qFormat="1"/>
    <w:lsdException w:name="Intense Emphasis" w:locked="0" w:uiPriority="21" w:semiHidden="0" w:unhideWhenUsed="0" w:qFormat="1"/>
    <w:lsdException w:name="Subtle Reference" w:locked="0" w:uiPriority="31" w:semiHidden="0" w:unhideWhenUsed="0" w:qFormat="1"/>
    <w:lsdException w:name="Intense Reference" w:locked="0" w:uiPriority="32" w:semiHidden="0" w:unhideWhenUsed="0" w:qFormat="1"/>
    <w:lsdException w:name="Book Title" w:locked="0" w:uiPriority="33" w:semiHidden="0" w:unhideWhenUsed="0" w:qFormat="1"/>
    <w:lsdException w:name="Bibliography" w:locked="0" w:uiPriority="37"/>
    <w:lsdException w:name="TOC Heading" w:locked="0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Titolo1">
    <w:name w:val="Heading 1"/>
    <w:basedOn w:val="Normal"/>
    <w:next w:val="Normal"/>
    <w:link w:val="Heading1Char"/>
    <w:uiPriority w:val="99"/>
    <w:qFormat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Titolo2">
    <w:name w:val="Heading 2"/>
    <w:basedOn w:val="Normal"/>
    <w:next w:val="Normal"/>
    <w:link w:val="Heading2Char"/>
    <w:uiPriority w:val="99"/>
    <w:qFormat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link w:val="Heading1"/>
    <w:uiPriority w:val="99"/>
    <w:qFormat/>
    <w:locked/>
    <w:rPr>
      <w:rFonts w:ascii="Cambria" w:hAnsi="Cambria" w:cs="Times New Roman"/>
      <w:b/>
      <w:bCs/>
      <w:kern w:val="2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</w:rPr>
  </w:style>
  <w:style w:type="character" w:styleId="HeaderChar" w:customStyle="1">
    <w:name w:val="Header Char"/>
    <w:basedOn w:val="DefaultParagraphFont"/>
    <w:link w:val="Header"/>
    <w:uiPriority w:val="99"/>
    <w:semiHidden/>
    <w:qFormat/>
    <w:locked/>
    <w:rPr>
      <w:rFonts w:cs="Times New Roman"/>
      <w:sz w:val="24"/>
      <w:szCs w:val="24"/>
    </w:rPr>
  </w:style>
  <w:style w:type="character" w:styleId="FooterChar" w:customStyle="1">
    <w:name w:val="Footer Char"/>
    <w:basedOn w:val="DefaultParagraphFont"/>
    <w:link w:val="Footer"/>
    <w:uiPriority w:val="99"/>
    <w:semiHidden/>
    <w:qFormat/>
    <w:locked/>
    <w:rPr>
      <w:rFonts w:cs="Times New Roman"/>
      <w:sz w:val="24"/>
      <w:szCs w:val="24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locked/>
    <w:rPr>
      <w:rFonts w:cs="Times New Roman"/>
      <w:sz w:val="2"/>
    </w:rPr>
  </w:style>
  <w:style w:type="character" w:styleId="Strong">
    <w:name w:val="Strong"/>
    <w:basedOn w:val="DefaultParagraphFont"/>
    <w:uiPriority w:val="99"/>
    <w:qFormat/>
    <w:rPr>
      <w:rFonts w:cs="Times New Roman"/>
      <w:b/>
      <w:bCs/>
    </w:rPr>
  </w:style>
  <w:style w:type="character" w:styleId="Enfasi" w:customStyle="1">
    <w:name w:val="Enfasi"/>
    <w:basedOn w:val="DefaultParagraphFont"/>
    <w:uiPriority w:val="99"/>
    <w:qFormat/>
    <w:rPr>
      <w:rFonts w:cs="Times New Roman"/>
      <w:i/>
      <w:iCs/>
    </w:rPr>
  </w:style>
  <w:style w:type="character" w:styleId="TitleChar" w:customStyle="1">
    <w:name w:val="Title Char"/>
    <w:basedOn w:val="DefaultParagraphFont"/>
    <w:link w:val="Title"/>
    <w:uiPriority w:val="10"/>
    <w:qFormat/>
    <w:rsid w:val="00b70a19"/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</w:rPr>
  </w:style>
  <w:style w:type="character" w:styleId="BodyTextChar" w:customStyle="1">
    <w:name w:val="Body Text Char"/>
    <w:basedOn w:val="DefaultParagraphFont"/>
    <w:link w:val="BodyText"/>
    <w:uiPriority w:val="99"/>
    <w:semiHidden/>
    <w:qFormat/>
    <w:rsid w:val="00b70a19"/>
    <w:rPr>
      <w:sz w:val="24"/>
      <w:szCs w:val="24"/>
    </w:rPr>
  </w:style>
  <w:style w:type="character" w:styleId="HeaderChar1" w:customStyle="1">
    <w:name w:val="Header Char1"/>
    <w:basedOn w:val="DefaultParagraphFont"/>
    <w:link w:val="Header"/>
    <w:uiPriority w:val="99"/>
    <w:semiHidden/>
    <w:qFormat/>
    <w:rsid w:val="00b70a19"/>
    <w:rPr>
      <w:sz w:val="24"/>
      <w:szCs w:val="24"/>
    </w:rPr>
  </w:style>
  <w:style w:type="character" w:styleId="FooterChar1" w:customStyle="1">
    <w:name w:val="Footer Char1"/>
    <w:basedOn w:val="DefaultParagraphFont"/>
    <w:link w:val="Footer"/>
    <w:uiPriority w:val="99"/>
    <w:semiHidden/>
    <w:qFormat/>
    <w:rsid w:val="00b70a19"/>
    <w:rPr>
      <w:sz w:val="24"/>
      <w:szCs w:val="24"/>
    </w:rPr>
  </w:style>
  <w:style w:type="character" w:styleId="BalloonTextChar1" w:customStyle="1">
    <w:name w:val="Balloon Text Char1"/>
    <w:basedOn w:val="DefaultParagraphFont"/>
    <w:link w:val="BalloonText"/>
    <w:uiPriority w:val="99"/>
    <w:semiHidden/>
    <w:qFormat/>
    <w:rsid w:val="00b70a19"/>
    <w:rPr>
      <w:sz w:val="0"/>
      <w:szCs w:val="0"/>
    </w:rPr>
  </w:style>
  <w:style w:type="character" w:styleId="CollegamentoInternet">
    <w:name w:val="Collegamento Internet"/>
    <w:basedOn w:val="DefaultParagraphFont"/>
    <w:uiPriority w:val="99"/>
    <w:locked/>
    <w:rsid w:val="008a5e61"/>
    <w:rPr>
      <w:rFonts w:cs="Times New Roman"/>
      <w:color w:val="0000FF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qFormat/>
    <w:rsid w:val="008a5e61"/>
    <w:rPr>
      <w:rFonts w:cs="Times New Roman"/>
      <w:color w:val="605E5C"/>
      <w:shd w:fill="E1DFDD" w:val="clear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link w:val="BodyTextChar"/>
    <w:uiPriority w:val="99"/>
    <w:rsid w:val="00f735c0"/>
    <w:pPr>
      <w:spacing w:lineRule="auto" w:line="276" w:before="0" w:after="140"/>
    </w:pPr>
    <w:rPr/>
  </w:style>
  <w:style w:type="paragraph" w:styleId="Elenco">
    <w:name w:val="List"/>
    <w:basedOn w:val="Corpodeltesto"/>
    <w:uiPriority w:val="99"/>
    <w:rsid w:val="00f735c0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uiPriority w:val="99"/>
    <w:qFormat/>
    <w:rsid w:val="00f735c0"/>
    <w:pPr>
      <w:suppressLineNumbers/>
    </w:pPr>
    <w:rPr>
      <w:rFonts w:cs="Arial"/>
    </w:rPr>
  </w:style>
  <w:style w:type="paragraph" w:styleId="Titoloprincipale">
    <w:name w:val="Title"/>
    <w:basedOn w:val="Normal"/>
    <w:next w:val="Corpodeltesto"/>
    <w:link w:val="TitleChar"/>
    <w:uiPriority w:val="99"/>
    <w:qFormat/>
    <w:rsid w:val="00f735c0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uiPriority w:val="99"/>
    <w:qFormat/>
    <w:rsid w:val="00f735c0"/>
    <w:pPr>
      <w:suppressLineNumbers/>
      <w:spacing w:before="120" w:after="120"/>
    </w:pPr>
    <w:rPr>
      <w:rFonts w:cs="Arial"/>
      <w:i/>
      <w:iCs/>
    </w:rPr>
  </w:style>
  <w:style w:type="paragraph" w:styleId="Intestazioneepidipagina" w:customStyle="1">
    <w:name w:val="Intestazione e piè di pagina"/>
    <w:basedOn w:val="Normal"/>
    <w:uiPriority w:val="99"/>
    <w:qFormat/>
    <w:rsid w:val="00f735c0"/>
    <w:pPr/>
    <w:rPr/>
  </w:style>
  <w:style w:type="paragraph" w:styleId="Intestazione">
    <w:name w:val="Header"/>
    <w:basedOn w:val="Normal"/>
    <w:link w:val="HeaderChar"/>
    <w:uiPriority w:val="99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FooterChar"/>
    <w:uiPriority w:val="99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BalloonTextChar"/>
    <w:uiPriority w:val="99"/>
    <w:semiHidden/>
    <w:qFormat/>
    <w:locked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locked/>
    <w:pPr>
      <w:suppressAutoHyphens w:val="false"/>
      <w:spacing w:beforeAutospacing="1" w:afterAutospacing="1"/>
    </w:pPr>
    <w:rPr/>
  </w:style>
  <w:style w:type="paragraph" w:styleId="ListParagraph">
    <w:name w:val="List Paragraph"/>
    <w:basedOn w:val="Normal"/>
    <w:uiPriority w:val="99"/>
    <w:qFormat/>
    <w:pPr>
      <w:spacing w:before="0" w:after="0"/>
      <w:ind w:left="720" w:hanging="0"/>
      <w:contextualSpacing/>
    </w:pPr>
    <w:rPr/>
  </w:style>
  <w:style w:type="paragraph" w:styleId="Hasdropcap" w:customStyle="1">
    <w:name w:val="has-drop-cap"/>
    <w:basedOn w:val="Normal"/>
    <w:uiPriority w:val="99"/>
    <w:qFormat/>
    <w:pPr>
      <w:suppressAutoHyphens w:val="false"/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Application>LibreOffice/6.4.7.2$Windows_x86 LibreOffice_project/639b8ac485750d5696d7590a72ef1b496725cfb5</Application>
  <Pages>3</Pages>
  <Words>931</Words>
  <Characters>5199</Characters>
  <CharactersWithSpaces>6104</CharactersWithSpaces>
  <Paragraphs>32</Paragraphs>
  <Company> 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2024-01-08T08:25:00Z</dcterms:created>
  <dc:creator>Giacomo Trombi</dc:creator>
  <dc:description/>
  <dc:language>it-IT</dc:language>
  <cp:lastModifiedBy/>
  <cp:lastPrinted>2024-01-08T08:16:00Z</cp:lastPrinted>
  <dcterms:modified xsi:type="dcterms:W3CDTF">2024-03-29T08:08:15Z</dcterms:modified>
  <cp:revision>7</cp:revision>
  <dc:subject/>
  <dc:title>SU CARTA INTESTATA DEL GRUPPO CONFORME AL MODELLO IDENTITA’ VISIVA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 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