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10" w:rsidRDefault="000F1F10">
      <w:pPr>
        <w:pStyle w:val="BodyText"/>
        <w:ind w:left="117" w:right="-29"/>
        <w:jc w:val="left"/>
        <w:rPr>
          <w:sz w:val="20"/>
        </w:rPr>
      </w:pPr>
      <w:r w:rsidRPr="00D975D0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112.5pt;height:54pt;visibility:visible">
            <v:imagedata r:id="rId5" o:title=""/>
          </v:shape>
        </w:pict>
      </w:r>
    </w:p>
    <w:p w:rsidR="000F1F10" w:rsidRDefault="000F1F10">
      <w:pPr>
        <w:pStyle w:val="BodyText"/>
        <w:ind w:left="0"/>
        <w:jc w:val="left"/>
        <w:rPr>
          <w:sz w:val="26"/>
        </w:rPr>
      </w:pPr>
    </w:p>
    <w:p w:rsidR="000F1F10" w:rsidRDefault="000F1F10">
      <w:pPr>
        <w:pStyle w:val="BodyText"/>
        <w:ind w:left="0"/>
        <w:jc w:val="left"/>
        <w:rPr>
          <w:sz w:val="26"/>
        </w:rPr>
      </w:pPr>
    </w:p>
    <w:p w:rsidR="000F1F10" w:rsidRDefault="000F1F10">
      <w:pPr>
        <w:pStyle w:val="BodyText"/>
        <w:spacing w:before="6"/>
        <w:ind w:left="0"/>
        <w:jc w:val="left"/>
        <w:rPr>
          <w:sz w:val="27"/>
        </w:rPr>
      </w:pPr>
    </w:p>
    <w:p w:rsidR="000F1F10" w:rsidRDefault="000F1F10" w:rsidP="005F75BC">
      <w:pPr>
        <w:pStyle w:val="Heading1"/>
        <w:ind w:right="-500"/>
      </w:pPr>
      <w:r>
        <w:rPr>
          <w:noProof/>
          <w:lang w:eastAsia="it-IT"/>
        </w:rPr>
        <w:pict>
          <v:line id="Immagine1" o:spid="_x0000_s1026" style="position:absolute;left:0;text-align:left;z-index:251658240;mso-position-horizontal-relative:page" from="70.95pt,-33.95pt" to="365.9pt,-33.9pt" strokeweight=".18mm">
            <v:fill o:detectmouseclick="t"/>
            <w10:wrap anchorx="page"/>
          </v:line>
        </w:pict>
      </w:r>
      <w:r>
        <w:t>Tipologia:Risoluzione n. 86/2022</w:t>
      </w:r>
    </w:p>
    <w:p w:rsidR="000F1F10" w:rsidRDefault="000F1F10">
      <w:pPr>
        <w:pStyle w:val="Title"/>
        <w:spacing w:line="276" w:lineRule="auto"/>
      </w:pPr>
      <w:r>
        <w:br w:type="column"/>
        <w:t>Gruppo Consiliare Lista Civica Nardella</w:t>
      </w:r>
    </w:p>
    <w:p w:rsidR="000F1F10" w:rsidRDefault="000F1F10">
      <w:pPr>
        <w:sectPr w:rsidR="000F1F10" w:rsidSect="005F75BC">
          <w:pgSz w:w="11906" w:h="16838"/>
          <w:pgMar w:top="1240" w:right="1300" w:bottom="280" w:left="1200" w:header="0" w:footer="0" w:gutter="0"/>
          <w:cols w:num="2" w:space="720" w:equalWidth="0">
            <w:col w:w="4200" w:space="1180"/>
            <w:col w:w="4025"/>
          </w:cols>
          <w:formProt w:val="0"/>
          <w:docGrid w:linePitch="600" w:charSpace="40960"/>
        </w:sectPr>
      </w:pPr>
    </w:p>
    <w:p w:rsidR="000F1F10" w:rsidRDefault="000F1F10">
      <w:pPr>
        <w:pStyle w:val="BodyText"/>
        <w:spacing w:before="10"/>
        <w:ind w:left="0"/>
        <w:jc w:val="left"/>
        <w:rPr>
          <w:sz w:val="22"/>
        </w:rPr>
      </w:pPr>
    </w:p>
    <w:p w:rsidR="000F1F10" w:rsidRDefault="000F1F10">
      <w:pPr>
        <w:spacing w:before="90"/>
        <w:ind w:left="218"/>
        <w:jc w:val="both"/>
        <w:rPr>
          <w:sz w:val="24"/>
        </w:rPr>
      </w:pPr>
      <w:r>
        <w:rPr>
          <w:b/>
          <w:sz w:val="24"/>
        </w:rPr>
        <w:t>Soggetti proponenti:</w:t>
      </w:r>
      <w:r>
        <w:rPr>
          <w:sz w:val="24"/>
        </w:rPr>
        <w:t xml:space="preserve"> Mimma Dardano, Luca Santarelli</w:t>
      </w:r>
    </w:p>
    <w:p w:rsidR="000F1F10" w:rsidRDefault="000F1F10">
      <w:pPr>
        <w:pStyle w:val="BodyText"/>
        <w:spacing w:before="2"/>
        <w:ind w:left="0"/>
        <w:jc w:val="left"/>
        <w:rPr>
          <w:sz w:val="28"/>
        </w:rPr>
      </w:pPr>
    </w:p>
    <w:p w:rsidR="000F1F10" w:rsidRDefault="000F1F10">
      <w:pPr>
        <w:pStyle w:val="Heading1"/>
        <w:spacing w:line="276" w:lineRule="auto"/>
        <w:ind w:right="112"/>
        <w:jc w:val="both"/>
      </w:pPr>
      <w:r>
        <w:t>Oggetto: Per favorire la fruizione pubblica dei beni a rilevanza storico-artistica soggetti a pareri di competenza delle Soprintendenze</w:t>
      </w:r>
    </w:p>
    <w:p w:rsidR="000F1F10" w:rsidRDefault="000F1F10">
      <w:pPr>
        <w:pStyle w:val="Heading1"/>
        <w:spacing w:line="276" w:lineRule="auto"/>
        <w:ind w:right="112"/>
        <w:jc w:val="both"/>
      </w:pPr>
    </w:p>
    <w:p w:rsidR="000F1F10" w:rsidRDefault="000F1F10">
      <w:pPr>
        <w:pStyle w:val="BodyText"/>
        <w:spacing w:before="3"/>
        <w:ind w:left="0"/>
        <w:jc w:val="left"/>
        <w:rPr>
          <w:b/>
          <w:sz w:val="27"/>
        </w:rPr>
      </w:pPr>
    </w:p>
    <w:p w:rsidR="000F1F10" w:rsidRDefault="000F1F10">
      <w:pPr>
        <w:pStyle w:val="BodyText"/>
        <w:spacing w:line="276" w:lineRule="auto"/>
        <w:ind w:right="123"/>
      </w:pPr>
      <w:r>
        <w:rPr>
          <w:b/>
        </w:rPr>
        <w:t xml:space="preserve">Premesso che </w:t>
      </w:r>
      <w:r>
        <w:t>a breve si dovrà procedere all’avvio degli iter per la realizzazione dei progetti finanziati con il PNRR;</w:t>
      </w:r>
    </w:p>
    <w:p w:rsidR="000F1F10" w:rsidRDefault="000F1F10">
      <w:pPr>
        <w:pStyle w:val="BodyText"/>
        <w:spacing w:before="138" w:line="276" w:lineRule="auto"/>
        <w:ind w:right="116"/>
      </w:pPr>
      <w:r>
        <w:rPr>
          <w:b/>
        </w:rPr>
        <w:t xml:space="preserve">che </w:t>
      </w:r>
      <w:r>
        <w:t>i tempi per l’approvazione, la realizzazione e la rendicontazione di tali progetti sono strettissimi se paragonati al tempo medio di completamento di un’opera pubblica in Italia;</w:t>
      </w:r>
    </w:p>
    <w:p w:rsidR="000F1F10" w:rsidRDefault="000F1F10">
      <w:pPr>
        <w:pStyle w:val="BodyText"/>
        <w:spacing w:before="135" w:line="276" w:lineRule="auto"/>
        <w:ind w:right="120"/>
      </w:pPr>
      <w:r>
        <w:rPr>
          <w:b/>
        </w:rPr>
        <w:t xml:space="preserve">che </w:t>
      </w:r>
      <w:r>
        <w:t>si arrivi a una effettiva semplificazione normativa con lo snellimento delle procedure per l’attuazione dei progetti relativi al Piano Nazionale Ripresa e Resilienza - PNRR, come già previsto con l’introduzione delle Soprintendenze speciali</w:t>
      </w:r>
      <w:r>
        <w:rPr>
          <w:color w:val="000000"/>
        </w:rPr>
        <w:t xml:space="preserve">;  </w:t>
      </w:r>
    </w:p>
    <w:p w:rsidR="000F1F10" w:rsidRDefault="000F1F10">
      <w:pPr>
        <w:pStyle w:val="BodyText"/>
        <w:spacing w:before="140" w:line="276" w:lineRule="auto"/>
        <w:ind w:right="118"/>
      </w:pPr>
      <w:r>
        <w:rPr>
          <w:b/>
        </w:rPr>
        <w:t xml:space="preserve">che </w:t>
      </w:r>
      <w:r>
        <w:t>tale problematica è ancor più sentita nelle città d’arte nelle quali spesso la realizzazione di nuovi progetti riguarda beni vincolati o si interseca inevitabilmente con essi;</w:t>
      </w:r>
    </w:p>
    <w:p w:rsidR="000F1F10" w:rsidRDefault="000F1F10">
      <w:pPr>
        <w:pStyle w:val="BodyText"/>
        <w:spacing w:before="141" w:line="276" w:lineRule="auto"/>
        <w:ind w:right="118"/>
      </w:pPr>
      <w:r>
        <w:rPr>
          <w:b/>
        </w:rPr>
        <w:t xml:space="preserve">che </w:t>
      </w:r>
      <w:r>
        <w:t>sarà in ogni caso necessario spendere subito e bene i soldi stanziati nell’ambito del PNRR per evitare ulteriori contraccolpi economici al nostro Paese e alle nostre città e per assicurarne una ripresa significativa e duratura.</w:t>
      </w:r>
    </w:p>
    <w:p w:rsidR="000F1F10" w:rsidRDefault="000F1F10">
      <w:pPr>
        <w:pStyle w:val="BodyText"/>
        <w:spacing w:before="141" w:line="276" w:lineRule="auto"/>
        <w:ind w:right="118"/>
        <w:rPr>
          <w:bCs/>
        </w:rPr>
      </w:pPr>
      <w:r>
        <w:rPr>
          <w:b/>
        </w:rPr>
        <w:t xml:space="preserve">che </w:t>
      </w:r>
      <w:r>
        <w:rPr>
          <w:bCs/>
        </w:rPr>
        <w:t>la tutela e la valorizzazione di un bene a rilevanza storico-artistica non può essere slegata dall’interesse pubblico dei cittadini di fruirne</w:t>
      </w:r>
    </w:p>
    <w:p w:rsidR="000F1F10" w:rsidRDefault="000F1F10">
      <w:pPr>
        <w:pStyle w:val="BodyText"/>
        <w:spacing w:before="141" w:line="276" w:lineRule="auto"/>
        <w:ind w:right="118"/>
      </w:pPr>
      <w:r>
        <w:rPr>
          <w:b/>
        </w:rPr>
        <w:t xml:space="preserve">che </w:t>
      </w:r>
      <w:r>
        <w:rPr>
          <w:bCs/>
        </w:rPr>
        <w:t>è necessaria una valutazione centrale del Ministero della Cultura che uniformi i comportamenti tenuti a livello periferico dalle varie Soprintendenze</w:t>
      </w:r>
    </w:p>
    <w:p w:rsidR="000F1F10" w:rsidRDefault="000F1F10">
      <w:pPr>
        <w:pStyle w:val="BodyText"/>
        <w:spacing w:before="140" w:line="276" w:lineRule="auto"/>
        <w:ind w:right="120"/>
      </w:pPr>
      <w:r>
        <w:t>Tutto ciò premesso al fine di garantire tempi certi e valutazioni coerenti rispetto ai progetti delle opere finanziate con il PNRR</w:t>
      </w:r>
    </w:p>
    <w:p w:rsidR="000F1F10" w:rsidRDefault="000F1F10">
      <w:pPr>
        <w:pStyle w:val="Heading1"/>
        <w:spacing w:before="145"/>
        <w:ind w:left="3909" w:right="3806"/>
        <w:jc w:val="center"/>
      </w:pPr>
    </w:p>
    <w:p w:rsidR="000F1F10" w:rsidRDefault="000F1F10">
      <w:pPr>
        <w:pStyle w:val="Heading1"/>
        <w:spacing w:before="145"/>
        <w:ind w:left="3909" w:right="3806"/>
        <w:jc w:val="center"/>
      </w:pPr>
      <w:r>
        <w:t>invita il Sindaco</w:t>
      </w:r>
    </w:p>
    <w:p w:rsidR="000F1F10" w:rsidRDefault="000F1F10">
      <w:pPr>
        <w:pStyle w:val="BodyText"/>
        <w:spacing w:before="175"/>
      </w:pPr>
      <w:r>
        <w:t>ad attivarsi in tutte le forme possibili presso gli organi di governo affinché:</w:t>
      </w:r>
    </w:p>
    <w:p w:rsidR="000F1F10" w:rsidRDefault="000F1F10">
      <w:pPr>
        <w:pStyle w:val="ListParagraph"/>
        <w:numPr>
          <w:ilvl w:val="0"/>
          <w:numId w:val="1"/>
        </w:numPr>
        <w:spacing w:line="271" w:lineRule="auto"/>
        <w:ind w:left="284" w:right="120"/>
        <w:rPr>
          <w:sz w:val="24"/>
        </w:rPr>
      </w:pPr>
      <w:r>
        <w:rPr>
          <w:sz w:val="24"/>
        </w:rPr>
        <w:t>Nei pareri espressi dalle Soprintendenze Archeologia, Belle arti e paesaggio sia premiato l’interesse pubblico connesso alla fruizione dei beni storico-artistici insieme all’interesse legato alla sua conservazione e valorizzazione</w:t>
      </w:r>
    </w:p>
    <w:p w:rsidR="000F1F10" w:rsidRDefault="000F1F10">
      <w:pPr>
        <w:pStyle w:val="ListParagraph"/>
        <w:numPr>
          <w:ilvl w:val="0"/>
          <w:numId w:val="1"/>
        </w:numPr>
        <w:spacing w:line="271" w:lineRule="auto"/>
        <w:ind w:left="284" w:right="120"/>
        <w:rPr>
          <w:sz w:val="24"/>
        </w:rPr>
      </w:pPr>
      <w:r>
        <w:rPr>
          <w:sz w:val="24"/>
        </w:rPr>
        <w:t>Per i progetti inseriti nel PNRR venga attivato un coinvolgimento diretto delle Direzioni Generali del Ministero della Cultura, che possano garantire tempi certi per l’emissione dei pareri e valutare uniformemente sul territorio nazionale l’equilibrio tra fruizione e conservazione del bene</w:t>
      </w:r>
    </w:p>
    <w:p w:rsidR="000F1F10" w:rsidRDefault="000F1F10">
      <w:pPr>
        <w:pStyle w:val="ListParagraph"/>
        <w:numPr>
          <w:ilvl w:val="0"/>
          <w:numId w:val="1"/>
        </w:numPr>
        <w:spacing w:line="271" w:lineRule="auto"/>
        <w:ind w:left="284" w:right="120"/>
        <w:rPr>
          <w:sz w:val="24"/>
        </w:rPr>
      </w:pPr>
      <w:r>
        <w:rPr>
          <w:sz w:val="24"/>
        </w:rPr>
        <w:t>Ridurre i margini di discrezionalità delle Soprintendenze anche nella richiesta della documentazione progettuale nei casi di nuove realizzazioni, al fine di semplificare le procedure autorizzatorie e garantire agli enti proponenti tempi certi</w:t>
      </w:r>
    </w:p>
    <w:sectPr w:rsidR="000F1F10" w:rsidSect="001B1959">
      <w:type w:val="continuous"/>
      <w:pgSz w:w="11906" w:h="16838"/>
      <w:pgMar w:top="1240" w:right="1300" w:bottom="280" w:left="1200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542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FC054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959"/>
    <w:rsid w:val="000F1F10"/>
    <w:rsid w:val="001B1959"/>
    <w:rsid w:val="00412FA1"/>
    <w:rsid w:val="005F75BC"/>
    <w:rsid w:val="00D975D0"/>
    <w:rsid w:val="00E6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59"/>
    <w:pPr>
      <w:widowControl w:val="0"/>
      <w:suppressAutoHyphens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B1959"/>
    <w:pPr>
      <w:ind w:left="21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eastAsia="Calibri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4B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Times New Roman" w:hAnsi="Cambria" w:cs="Cambria"/>
      <w:color w:val="365F91"/>
      <w:sz w:val="26"/>
      <w:szCs w:val="26"/>
      <w:lang w:val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  <w:szCs w:val="24"/>
      <w:lang w:val="it-IT"/>
    </w:rPr>
  </w:style>
  <w:style w:type="paragraph" w:styleId="Title">
    <w:name w:val="Title"/>
    <w:basedOn w:val="Normal"/>
    <w:next w:val="BodyText"/>
    <w:link w:val="TitleChar"/>
    <w:uiPriority w:val="99"/>
    <w:qFormat/>
    <w:rsid w:val="001B1959"/>
    <w:pPr>
      <w:spacing w:before="185"/>
      <w:ind w:left="196" w:right="1075" w:hanging="8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224B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1B1959"/>
    <w:pPr>
      <w:ind w:left="218"/>
      <w:jc w:val="both"/>
    </w:pPr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224BA"/>
    <w:rPr>
      <w:rFonts w:ascii="Times New Roman" w:eastAsia="Times New Roman" w:hAnsi="Times New Roman" w:cs="Times New Roman"/>
      <w:lang w:eastAsia="en-US"/>
    </w:rPr>
  </w:style>
  <w:style w:type="paragraph" w:styleId="List">
    <w:name w:val="List"/>
    <w:basedOn w:val="BodyText"/>
    <w:uiPriority w:val="99"/>
    <w:rsid w:val="001B1959"/>
    <w:rPr>
      <w:rFonts w:cs="Arial"/>
    </w:rPr>
  </w:style>
  <w:style w:type="paragraph" w:styleId="Caption">
    <w:name w:val="caption"/>
    <w:basedOn w:val="Normal"/>
    <w:uiPriority w:val="99"/>
    <w:qFormat/>
    <w:rsid w:val="001B195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1B195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1B1959"/>
    <w:pPr>
      <w:spacing w:before="125"/>
      <w:ind w:left="218" w:right="114"/>
      <w:jc w:val="both"/>
    </w:pPr>
  </w:style>
  <w:style w:type="paragraph" w:customStyle="1" w:styleId="TableParagraph">
    <w:name w:val="Table Paragraph"/>
    <w:basedOn w:val="Normal"/>
    <w:uiPriority w:val="99"/>
    <w:rsid w:val="001B1959"/>
  </w:style>
  <w:style w:type="table" w:customStyle="1" w:styleId="TableNormal1">
    <w:name w:val="Table Normal1"/>
    <w:uiPriority w:val="99"/>
    <w:semiHidden/>
    <w:rsid w:val="001B1959"/>
    <w:pPr>
      <w:suppressAutoHyphens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377</Words>
  <Characters>2154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Achilli Massimo</dc:creator>
  <cp:keywords/>
  <dc:description/>
  <cp:lastModifiedBy>d19882</cp:lastModifiedBy>
  <cp:revision>2</cp:revision>
  <dcterms:created xsi:type="dcterms:W3CDTF">2022-01-28T08:32:00Z</dcterms:created>
  <dcterms:modified xsi:type="dcterms:W3CDTF">2022-01-28T08:32:00Z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