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93" w:rsidRPr="000234E8" w:rsidRDefault="00175F93" w:rsidP="00C41086">
      <w:pPr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10</w:t>
      </w:r>
      <w:r w:rsidRPr="000234E8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Febbraio</w:t>
      </w:r>
      <w:r w:rsidRPr="000234E8">
        <w:rPr>
          <w:rFonts w:ascii="Georgia" w:hAnsi="Georgia" w:cs="Georgia"/>
          <w:color w:val="000000"/>
          <w:sz w:val="24"/>
          <w:szCs w:val="24"/>
        </w:rPr>
        <w:t xml:space="preserve"> 20</w:t>
      </w:r>
      <w:r>
        <w:rPr>
          <w:rFonts w:ascii="Georgia" w:hAnsi="Georgia" w:cs="Georgia"/>
          <w:color w:val="000000"/>
          <w:sz w:val="24"/>
          <w:szCs w:val="24"/>
        </w:rPr>
        <w:t>20</w:t>
      </w:r>
    </w:p>
    <w:p w:rsidR="00175F93" w:rsidRDefault="00175F93" w:rsidP="00C41086">
      <w:pPr>
        <w:jc w:val="both"/>
        <w:rPr>
          <w:rFonts w:ascii="Georgia" w:hAnsi="Georgia" w:cs="Georgia"/>
          <w:b/>
          <w:i/>
          <w:color w:val="000000"/>
          <w:sz w:val="24"/>
          <w:szCs w:val="24"/>
        </w:rPr>
      </w:pPr>
    </w:p>
    <w:p w:rsidR="00175F93" w:rsidRPr="00C41086" w:rsidRDefault="00175F93" w:rsidP="00C41086">
      <w:pPr>
        <w:jc w:val="center"/>
        <w:rPr>
          <w:rFonts w:ascii="Georgia" w:hAnsi="Georgia" w:cs="Georgia"/>
          <w:b/>
          <w:color w:val="000000"/>
          <w:sz w:val="32"/>
          <w:szCs w:val="32"/>
        </w:rPr>
      </w:pPr>
      <w:r w:rsidRPr="00C41086">
        <w:rPr>
          <w:rFonts w:ascii="Georgia" w:hAnsi="Georgia" w:cs="Georgia"/>
          <w:b/>
          <w:color w:val="000000"/>
          <w:sz w:val="32"/>
          <w:szCs w:val="32"/>
        </w:rPr>
        <w:t>Risoluzione</w:t>
      </w:r>
    </w:p>
    <w:p w:rsidR="00175F93" w:rsidRPr="00C41086" w:rsidRDefault="00175F93" w:rsidP="00C41086">
      <w:pPr>
        <w:jc w:val="center"/>
        <w:rPr>
          <w:rFonts w:ascii="Georgia" w:hAnsi="Georgia" w:cs="Georgia"/>
          <w:color w:val="000000"/>
          <w:sz w:val="32"/>
          <w:szCs w:val="32"/>
        </w:rPr>
      </w:pPr>
    </w:p>
    <w:p w:rsidR="00175F93" w:rsidRDefault="00175F93" w:rsidP="00C41086">
      <w:pPr>
        <w:ind w:left="1701" w:hanging="1701"/>
        <w:jc w:val="both"/>
        <w:rPr>
          <w:rFonts w:ascii="Georgia" w:hAnsi="Georgia" w:cs="Georgia"/>
          <w:b/>
          <w:i/>
          <w:color w:val="000000"/>
          <w:sz w:val="24"/>
          <w:szCs w:val="24"/>
        </w:rPr>
      </w:pPr>
    </w:p>
    <w:p w:rsidR="00175F93" w:rsidRDefault="00175F93" w:rsidP="00C41086">
      <w:pPr>
        <w:ind w:left="1701" w:hanging="1701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b/>
          <w:i/>
          <w:color w:val="000000"/>
          <w:sz w:val="24"/>
          <w:szCs w:val="24"/>
        </w:rPr>
        <w:t>Proponenti: Roberto De Blasi, Lorenzo Masi</w:t>
      </w:r>
    </w:p>
    <w:p w:rsidR="00175F93" w:rsidRDefault="00175F93" w:rsidP="00C41086">
      <w:pPr>
        <w:jc w:val="both"/>
        <w:rPr>
          <w:rFonts w:ascii="Georgia" w:hAnsi="Georgia" w:cs="Georgia"/>
          <w:color w:val="000000"/>
          <w:sz w:val="24"/>
          <w:szCs w:val="24"/>
        </w:rPr>
      </w:pPr>
    </w:p>
    <w:p w:rsidR="00175F93" w:rsidRDefault="00175F93" w:rsidP="00C41086">
      <w:pPr>
        <w:pStyle w:val="NormalWeb"/>
        <w:spacing w:before="0" w:beforeAutospacing="0" w:after="0" w:afterAutospacing="0"/>
        <w:rPr>
          <w:rFonts w:ascii="Georgia" w:hAnsi="Georgia" w:cs="Georgia"/>
          <w:b/>
          <w:i/>
          <w:color w:val="000000"/>
        </w:rPr>
      </w:pPr>
      <w:r>
        <w:rPr>
          <w:rFonts w:ascii="Georgia" w:hAnsi="Georgia" w:cs="Georgia"/>
          <w:b/>
          <w:i/>
          <w:color w:val="000000"/>
        </w:rPr>
        <w:t>Oggetto: edilizia scolastica in Toscana</w:t>
      </w:r>
    </w:p>
    <w:p w:rsidR="00175F93" w:rsidRDefault="00175F93" w:rsidP="00C41086">
      <w:pPr>
        <w:pStyle w:val="NormalWeb"/>
        <w:spacing w:before="0" w:beforeAutospacing="0" w:after="0" w:afterAutospacing="0"/>
        <w:rPr>
          <w:rFonts w:ascii="Georgia" w:hAnsi="Georgia" w:cs="Georgia"/>
          <w:b/>
          <w:i/>
          <w:color w:val="000000"/>
        </w:rPr>
      </w:pPr>
    </w:p>
    <w:p w:rsidR="00175F93" w:rsidRDefault="00175F93" w:rsidP="00C41086">
      <w:pPr>
        <w:jc w:val="both"/>
        <w:rPr>
          <w:rFonts w:ascii="Georgia" w:hAnsi="Georgia" w:cs="Georgia"/>
          <w:color w:val="000000"/>
          <w:sz w:val="24"/>
          <w:szCs w:val="24"/>
        </w:rPr>
      </w:pPr>
    </w:p>
    <w:p w:rsidR="00175F93" w:rsidRDefault="00175F93" w:rsidP="00C41086">
      <w:pPr>
        <w:jc w:val="center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IL CONSIGLIO COMUNALE</w:t>
      </w:r>
    </w:p>
    <w:p w:rsidR="00175F93" w:rsidRDefault="00175F93" w:rsidP="00C41086">
      <w:pPr>
        <w:jc w:val="center"/>
        <w:rPr>
          <w:bCs/>
          <w:color w:val="000000"/>
          <w:sz w:val="24"/>
          <w:szCs w:val="24"/>
        </w:rPr>
      </w:pPr>
    </w:p>
    <w:p w:rsidR="00175F93" w:rsidRDefault="00175F93" w:rsidP="00C41086">
      <w:pPr>
        <w:jc w:val="center"/>
        <w:rPr>
          <w:bCs/>
          <w:color w:val="000000"/>
          <w:sz w:val="24"/>
          <w:szCs w:val="24"/>
        </w:rPr>
      </w:pPr>
      <w:r w:rsidRPr="00851C89">
        <w:rPr>
          <w:bCs/>
          <w:color w:val="000000"/>
          <w:sz w:val="24"/>
          <w:szCs w:val="24"/>
        </w:rPr>
        <w:t>VIST</w:t>
      </w:r>
      <w:r>
        <w:rPr>
          <w:bCs/>
          <w:color w:val="000000"/>
          <w:sz w:val="24"/>
          <w:szCs w:val="24"/>
        </w:rPr>
        <w:t>A</w:t>
      </w:r>
    </w:p>
    <w:p w:rsidR="00175F93" w:rsidRDefault="00175F93" w:rsidP="00C410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comunicazione N.1159/2.16 del 24 Gennaio 2020 della Giunta Regionale Assessorato Istruzione, Formazione e Lavoro, al Consiglio Regionale, in merito alla situazione sull’edilizia scolastica in Toscana, che narra: </w:t>
      </w:r>
    </w:p>
    <w:p w:rsidR="00175F93" w:rsidRDefault="00175F93" w:rsidP="00C41086">
      <w:pPr>
        <w:jc w:val="both"/>
        <w:rPr>
          <w:sz w:val="24"/>
          <w:szCs w:val="24"/>
        </w:rPr>
      </w:pPr>
    </w:p>
    <w:p w:rsidR="00175F93" w:rsidRDefault="00175F93" w:rsidP="00C41086">
      <w:pPr>
        <w:ind w:hanging="2"/>
        <w:jc w:val="both"/>
        <w:rPr>
          <w:i/>
          <w:color w:val="000000"/>
          <w:sz w:val="24"/>
          <w:szCs w:val="24"/>
        </w:rPr>
      </w:pPr>
      <w:r w:rsidRPr="00D86AEE">
        <w:rPr>
          <w:i/>
          <w:color w:val="000000"/>
          <w:sz w:val="24"/>
          <w:szCs w:val="24"/>
        </w:rPr>
        <w:t>Il patrimonio edilizio scolastico della Toscana è costituito per oltre il 70% circa da strutture costruite prima del 1975, prima quindi dell’entrata in vigore delle varie normative in ambito di sicurezza degli edifici scolastici.</w:t>
      </w:r>
    </w:p>
    <w:p w:rsidR="00175F93" w:rsidRDefault="00175F93" w:rsidP="00C41086">
      <w:pPr>
        <w:ind w:hanging="2"/>
        <w:jc w:val="both"/>
        <w:rPr>
          <w:i/>
          <w:color w:val="000000"/>
          <w:sz w:val="24"/>
          <w:szCs w:val="24"/>
        </w:rPr>
      </w:pPr>
      <w:r w:rsidRPr="00D86AEE">
        <w:rPr>
          <w:i/>
          <w:color w:val="000000"/>
          <w:sz w:val="24"/>
          <w:szCs w:val="24"/>
        </w:rPr>
        <w:t>…fino ad oltre il primo decennio degli anni 2000 le risorse destinate all’edilizia scolastica si sono dimostrate esigue e non sufficienti a garantire adeguati interventi di manutenzione.</w:t>
      </w:r>
    </w:p>
    <w:p w:rsidR="00175F93" w:rsidRDefault="00175F93" w:rsidP="00C41086">
      <w:pPr>
        <w:ind w:hanging="2"/>
        <w:jc w:val="both"/>
        <w:rPr>
          <w:i/>
          <w:color w:val="000000"/>
          <w:sz w:val="24"/>
          <w:szCs w:val="24"/>
        </w:rPr>
      </w:pPr>
      <w:r w:rsidRPr="00D86AEE">
        <w:rPr>
          <w:i/>
          <w:color w:val="000000"/>
          <w:sz w:val="24"/>
          <w:szCs w:val="24"/>
        </w:rPr>
        <w:t>Tutto questo rende necessario ed urgente intervenire per la messa in sicurezza e l’adeguamento delle strutture.</w:t>
      </w:r>
    </w:p>
    <w:p w:rsidR="00175F93" w:rsidRPr="007115EF" w:rsidRDefault="00175F93" w:rsidP="00C41086">
      <w:pPr>
        <w:ind w:hanging="2"/>
        <w:jc w:val="both"/>
        <w:rPr>
          <w:i/>
          <w:color w:val="000000"/>
        </w:rPr>
      </w:pPr>
      <w:r w:rsidRPr="007115EF">
        <w:rPr>
          <w:i/>
          <w:color w:val="000000"/>
          <w:sz w:val="24"/>
          <w:szCs w:val="24"/>
        </w:rPr>
        <w:t>All’interno dell’Anagrafe regionale risultano censiti 2.777 edifici scolastici ospitanti scuole Statali. Di questi 169 sono edifici esclusivamente palestra e 241 risultano momento non attivi perché in ristrutturazione o in costruzione, oppure inseriti a sistema per poter presentare richiesta di finanziamento.</w:t>
      </w:r>
    </w:p>
    <w:p w:rsidR="00175F93" w:rsidRPr="007115EF" w:rsidRDefault="00175F93" w:rsidP="00C41086">
      <w:pPr>
        <w:ind w:hanging="2"/>
        <w:jc w:val="both"/>
        <w:rPr>
          <w:i/>
          <w:color w:val="000000"/>
        </w:rPr>
      </w:pPr>
      <w:r w:rsidRPr="007115EF">
        <w:rPr>
          <w:i/>
          <w:color w:val="000000"/>
          <w:sz w:val="24"/>
          <w:szCs w:val="24"/>
        </w:rPr>
        <w:t>All’interno dei  2.777 edifici scolastici risultano allocati 3.194 dei 3.221 plessi/istituzioni attivi sul territorio regionale per l’Anno Scolastico 2019/2020. per 27 plessi (0,8%) gli Enti gestori non ci hanno ad oggi fornito la relazione edificio/plesso.</w:t>
      </w:r>
    </w:p>
    <w:p w:rsidR="00175F93" w:rsidRPr="007115EF" w:rsidRDefault="00175F93" w:rsidP="00C41086">
      <w:pPr>
        <w:ind w:hanging="2"/>
        <w:jc w:val="both"/>
        <w:rPr>
          <w:i/>
          <w:color w:val="000000"/>
        </w:rPr>
      </w:pPr>
      <w:r w:rsidRPr="007115EF">
        <w:rPr>
          <w:i/>
          <w:color w:val="000000"/>
          <w:sz w:val="24"/>
          <w:szCs w:val="24"/>
        </w:rPr>
        <w:t>I 3.221 punti di erogazione del servizio scolastico sono suddivisi in 488 istituzioni scolastiche e in 2733 plessi.</w:t>
      </w:r>
    </w:p>
    <w:p w:rsidR="00175F93" w:rsidRPr="007115EF" w:rsidRDefault="00175F93" w:rsidP="00C41086">
      <w:pPr>
        <w:ind w:hanging="2"/>
        <w:jc w:val="both"/>
        <w:rPr>
          <w:i/>
          <w:color w:val="000000"/>
        </w:rPr>
      </w:pPr>
      <w:r w:rsidRPr="007115EF">
        <w:rPr>
          <w:i/>
          <w:color w:val="000000"/>
          <w:sz w:val="24"/>
          <w:szCs w:val="24"/>
        </w:rPr>
        <w:t xml:space="preserve">La totalità degli edifici censiti risulta georeferenziata. </w:t>
      </w:r>
    </w:p>
    <w:p w:rsidR="00175F93" w:rsidRPr="007115EF" w:rsidRDefault="00175F93" w:rsidP="00C41086">
      <w:pPr>
        <w:ind w:hanging="2"/>
        <w:jc w:val="both"/>
        <w:rPr>
          <w:i/>
          <w:color w:val="000000"/>
        </w:rPr>
      </w:pPr>
      <w:r w:rsidRPr="007115EF">
        <w:rPr>
          <w:b/>
          <w:i/>
          <w:color w:val="000000"/>
          <w:sz w:val="24"/>
          <w:szCs w:val="24"/>
        </w:rPr>
        <w:t>Gli Enti locali titolati alla compilazione delle schede anagrafiche sono i comuni per le scuole del primo ciclo (infanzia, primaria e secondaria di primo grado)</w:t>
      </w:r>
      <w:r w:rsidRPr="007115EF">
        <w:rPr>
          <w:i/>
          <w:color w:val="000000"/>
          <w:sz w:val="24"/>
          <w:szCs w:val="24"/>
        </w:rPr>
        <w:t xml:space="preserve">, le Province e la Città Metropolitana di Firenze per le scuole del secondo ciclo (secondarie di secondo grado). </w:t>
      </w:r>
    </w:p>
    <w:p w:rsidR="00175F93" w:rsidRPr="007115EF" w:rsidRDefault="00175F93" w:rsidP="00C41086">
      <w:pPr>
        <w:ind w:hanging="2"/>
        <w:jc w:val="both"/>
        <w:rPr>
          <w:i/>
          <w:color w:val="000000"/>
          <w:sz w:val="24"/>
          <w:szCs w:val="24"/>
        </w:rPr>
      </w:pPr>
    </w:p>
    <w:p w:rsidR="00175F93" w:rsidRDefault="00175F93" w:rsidP="00C41086">
      <w:pPr>
        <w:jc w:val="both"/>
        <w:rPr>
          <w:sz w:val="24"/>
          <w:szCs w:val="24"/>
        </w:rPr>
      </w:pPr>
    </w:p>
    <w:p w:rsidR="00175F93" w:rsidRDefault="00175F93" w:rsidP="00C410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CONSIDERATO CHE </w:t>
      </w:r>
    </w:p>
    <w:p w:rsidR="00175F93" w:rsidRDefault="00175F93" w:rsidP="00C41086">
      <w:pPr>
        <w:jc w:val="center"/>
        <w:rPr>
          <w:sz w:val="24"/>
          <w:szCs w:val="24"/>
        </w:rPr>
      </w:pPr>
    </w:p>
    <w:p w:rsidR="00175F93" w:rsidRDefault="00175F93" w:rsidP="00C41086">
      <w:pPr>
        <w:jc w:val="both"/>
        <w:rPr>
          <w:sz w:val="24"/>
          <w:szCs w:val="24"/>
        </w:rPr>
      </w:pPr>
      <w:r>
        <w:rPr>
          <w:sz w:val="24"/>
          <w:szCs w:val="24"/>
        </w:rPr>
        <w:t>Secondo ARES (anagrafe Regionale Edilizia Scolastica) Toscana, nella città Metropolitana di Firenze ci sarebbero:</w:t>
      </w:r>
    </w:p>
    <w:p w:rsidR="00175F93" w:rsidRDefault="00175F93" w:rsidP="00C41086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5958A6">
        <w:rPr>
          <w:sz w:val="24"/>
          <w:szCs w:val="24"/>
        </w:rPr>
        <w:t>466 edifici di Competenza Comunale</w:t>
      </w:r>
      <w:r>
        <w:rPr>
          <w:sz w:val="24"/>
          <w:szCs w:val="24"/>
        </w:rPr>
        <w:t xml:space="preserve">, per 21 dei quali </w:t>
      </w:r>
      <w:r w:rsidRPr="005958A6">
        <w:rPr>
          <w:sz w:val="24"/>
          <w:szCs w:val="24"/>
        </w:rPr>
        <w:t>le schede risultano incomplete</w:t>
      </w:r>
      <w:r>
        <w:rPr>
          <w:sz w:val="24"/>
          <w:szCs w:val="24"/>
        </w:rPr>
        <w:t xml:space="preserve"> per la definizione delle condizioni di sicurezza e che riguardano: l’Agibilità, il Collaudo Statico, la Conformità dell’impianto elettrico e idrotermosanitario, il Certificato Prevenzione Incendi in corso di validità.</w:t>
      </w:r>
    </w:p>
    <w:p w:rsidR="00175F93" w:rsidRDefault="00175F93" w:rsidP="00C41086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Solo 52 su 557 edifici realizzati o adeguati alla normativa antisismica e di questi solo 21 edifici disporrebbero del certificato che attesta la perfetta rispondenza dell’opera alle norme por le costruzioni in zona sismica</w:t>
      </w:r>
    </w:p>
    <w:p w:rsidR="00175F93" w:rsidRDefault="00175F93" w:rsidP="00C41086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47 edifici serviti da impianto di riscaldamento a gasolio, </w:t>
      </w:r>
      <w:smartTag w:uri="urn:schemas-microsoft-com:office:smarttags" w:element="metricconverter">
        <w:smartTagPr>
          <w:attr w:name="ProductID" w:val="437 a"/>
        </w:smartTagPr>
        <w:r>
          <w:rPr>
            <w:sz w:val="24"/>
            <w:szCs w:val="24"/>
          </w:rPr>
          <w:t>437 a</w:t>
        </w:r>
      </w:smartTag>
      <w:r>
        <w:rPr>
          <w:sz w:val="24"/>
          <w:szCs w:val="24"/>
        </w:rPr>
        <w:t xml:space="preserve"> metano, </w:t>
      </w:r>
      <w:smartTag w:uri="urn:schemas-microsoft-com:office:smarttags" w:element="metricconverter">
        <w:smartTagPr>
          <w:attr w:name="ProductID" w:val="3 a"/>
        </w:smartTagPr>
        <w:r>
          <w:rPr>
            <w:sz w:val="24"/>
            <w:szCs w:val="24"/>
          </w:rPr>
          <w:t>3 a</w:t>
        </w:r>
      </w:smartTag>
      <w:r>
        <w:rPr>
          <w:sz w:val="24"/>
          <w:szCs w:val="24"/>
        </w:rPr>
        <w:t xml:space="preserve"> gpl, 8 ad aria, 1 corpi elettrici autonomi, 7 teleriscaldamento, 2 condizionamento/ventilazione</w:t>
      </w:r>
    </w:p>
    <w:p w:rsidR="00175F93" w:rsidRDefault="00175F93" w:rsidP="00C41086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 190 edifici su 557 sono state eseguite lavorazioni atte all’abbattimento dei consumi energetici quali:</w:t>
      </w:r>
    </w:p>
    <w:p w:rsidR="00175F93" w:rsidRDefault="00175F93" w:rsidP="00C41086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doppi vetri</w:t>
      </w:r>
    </w:p>
    <w:p w:rsidR="00175F93" w:rsidRDefault="00175F93" w:rsidP="00C41086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isolamento della copertura</w:t>
      </w:r>
    </w:p>
    <w:p w:rsidR="00175F93" w:rsidRDefault="00175F93" w:rsidP="00C41086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isolamento delle pareti esterne</w:t>
      </w:r>
    </w:p>
    <w:p w:rsidR="00175F93" w:rsidRDefault="00175F93" w:rsidP="00C41086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zonizzazione dell’impianto termico</w:t>
      </w:r>
    </w:p>
    <w:p w:rsidR="00175F93" w:rsidRDefault="00175F93" w:rsidP="00C41086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pannelli solari</w:t>
      </w:r>
    </w:p>
    <w:p w:rsidR="00175F93" w:rsidRDefault="00175F93" w:rsidP="00C41086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</w:t>
      </w:r>
    </w:p>
    <w:p w:rsidR="00175F93" w:rsidRDefault="00175F93" w:rsidP="00C4108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 120 edifici su 557 l’ente gestore ha provveduto a fare un’analisi e/o rilievo circa la presenza di amianto</w:t>
      </w:r>
    </w:p>
    <w:p w:rsidR="00175F93" w:rsidRDefault="00175F93" w:rsidP="00C41086">
      <w:pPr>
        <w:pStyle w:val="ListParagraph"/>
        <w:rPr>
          <w:sz w:val="24"/>
          <w:szCs w:val="24"/>
        </w:rPr>
      </w:pPr>
    </w:p>
    <w:p w:rsidR="00175F93" w:rsidRPr="00CE35EE" w:rsidRDefault="00175F93" w:rsidP="00C410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DATO CHE </w:t>
      </w:r>
    </w:p>
    <w:p w:rsidR="00175F93" w:rsidRDefault="00175F93" w:rsidP="00C41086">
      <w:pPr>
        <w:rPr>
          <w:sz w:val="24"/>
          <w:szCs w:val="24"/>
        </w:rPr>
      </w:pPr>
    </w:p>
    <w:p w:rsidR="00175F93" w:rsidRPr="00CE35EE" w:rsidRDefault="00175F93" w:rsidP="00C41086">
      <w:pPr>
        <w:ind w:hanging="2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Nella comunicazione N.1159/2.16 del 24 Gennaio 2020 della Giunta Regionale viene riportato che: </w:t>
      </w:r>
      <w:r w:rsidRPr="00CE35EE">
        <w:rPr>
          <w:i/>
          <w:sz w:val="24"/>
          <w:szCs w:val="24"/>
        </w:rPr>
        <w:t>“Nel corso di questa legislatura la Giunta regionale, nel confermare il forte interesse per la situazione del patrimonio edilizia scolastico, ha incrementato il suo impegno programmatorio e finanziario al fine di rispondere alle esigenze emerse dal territorio.</w:t>
      </w:r>
    </w:p>
    <w:p w:rsidR="00175F93" w:rsidRPr="00CE35EE" w:rsidRDefault="00175F93" w:rsidP="00C41086">
      <w:pPr>
        <w:ind w:hanging="2"/>
        <w:jc w:val="both"/>
        <w:rPr>
          <w:i/>
          <w:sz w:val="24"/>
          <w:szCs w:val="24"/>
        </w:rPr>
      </w:pPr>
      <w:r w:rsidRPr="00CE35EE">
        <w:rPr>
          <w:i/>
          <w:sz w:val="24"/>
          <w:szCs w:val="24"/>
        </w:rPr>
        <w:t>A tal fine si ricorda l’annuale appostamento di risorse regionali destinata a soddisfare le richieste presentate dagli enti locali per interventi urgenti e indifferibili nel settore dell’edilizia scolastica, che consentono di rispondere in modo rapido ad eventuali emergenze.</w:t>
      </w:r>
    </w:p>
    <w:p w:rsidR="00175F93" w:rsidRPr="00CE35EE" w:rsidRDefault="00175F93" w:rsidP="00C41086">
      <w:pPr>
        <w:ind w:hanging="2"/>
        <w:jc w:val="both"/>
        <w:rPr>
          <w:i/>
          <w:sz w:val="24"/>
          <w:szCs w:val="24"/>
        </w:rPr>
      </w:pPr>
      <w:r w:rsidRPr="00CE35EE">
        <w:rPr>
          <w:i/>
          <w:sz w:val="24"/>
          <w:szCs w:val="24"/>
        </w:rPr>
        <w:t>Dal 2015 al 2019 sono stati finanziati 79 interventi per un totale di 16 milioni di euro; in 66 casi le risorse sono state assegnate per eseguire lavori volti alla riapertura di scuole totalmente o parzialmente chiuse e per 5 interventi di finanziamento per il noleggio di strutture provvisorie destinate ad ospitare alunni che provenivano da edifici chiusi per i quali l’Ente locale non aveva strutture idonee al loro collocamento.</w:t>
      </w:r>
    </w:p>
    <w:p w:rsidR="00175F93" w:rsidRPr="00CE35EE" w:rsidRDefault="00175F93" w:rsidP="00C41086">
      <w:pPr>
        <w:ind w:hanging="2"/>
        <w:jc w:val="both"/>
        <w:rPr>
          <w:i/>
          <w:sz w:val="24"/>
          <w:szCs w:val="24"/>
        </w:rPr>
      </w:pPr>
      <w:r w:rsidRPr="00CE35EE">
        <w:rPr>
          <w:i/>
          <w:sz w:val="24"/>
          <w:szCs w:val="24"/>
        </w:rPr>
        <w:t>Di questi interventi 64 erano di competenza dei Comuni e 15 delle Province.</w:t>
      </w:r>
    </w:p>
    <w:p w:rsidR="00175F93" w:rsidRPr="00CE35EE" w:rsidRDefault="00175F93" w:rsidP="00C41086">
      <w:pPr>
        <w:ind w:hanging="2"/>
        <w:jc w:val="both"/>
        <w:rPr>
          <w:i/>
          <w:sz w:val="24"/>
          <w:szCs w:val="24"/>
        </w:rPr>
      </w:pPr>
      <w:r w:rsidRPr="00CE35EE">
        <w:rPr>
          <w:i/>
          <w:sz w:val="24"/>
          <w:szCs w:val="24"/>
        </w:rPr>
        <w:t>Con fondi straordinari messi a disposizione con legge regionale si sono inoltre finanziati 8 interventi per un totale di 5,4 milioni di euro.</w:t>
      </w:r>
    </w:p>
    <w:p w:rsidR="00175F93" w:rsidRDefault="00175F93" w:rsidP="00C41086">
      <w:pPr>
        <w:ind w:hanging="2"/>
        <w:jc w:val="both"/>
        <w:rPr>
          <w:i/>
          <w:sz w:val="24"/>
          <w:szCs w:val="24"/>
        </w:rPr>
      </w:pPr>
      <w:r w:rsidRPr="00CE35EE">
        <w:rPr>
          <w:i/>
          <w:sz w:val="24"/>
          <w:szCs w:val="24"/>
        </w:rPr>
        <w:t>L’impegno regionale trova continuità anche nel 2020-2022 con l’inserimento nel bilancio regionale di 4,7 milioni di Euro per interventi urgenti e 132mila Euro per la locazione o acquisto di Strutture provvisorie.</w:t>
      </w:r>
      <w:r>
        <w:rPr>
          <w:i/>
          <w:sz w:val="24"/>
          <w:szCs w:val="24"/>
        </w:rPr>
        <w:t>”</w:t>
      </w:r>
    </w:p>
    <w:p w:rsidR="00175F93" w:rsidRDefault="00175F93" w:rsidP="00C41086">
      <w:pPr>
        <w:ind w:hanging="2"/>
        <w:jc w:val="both"/>
        <w:rPr>
          <w:i/>
          <w:sz w:val="24"/>
          <w:szCs w:val="24"/>
        </w:rPr>
      </w:pPr>
    </w:p>
    <w:p w:rsidR="00175F93" w:rsidRDefault="00175F93" w:rsidP="00C41086">
      <w:pPr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VERIFICATO CHE </w:t>
      </w:r>
    </w:p>
    <w:p w:rsidR="00175F93" w:rsidRDefault="00175F93" w:rsidP="00C41086">
      <w:pPr>
        <w:shd w:val="clear" w:color="auto" w:fill="FFFFFF"/>
        <w:ind w:left="1" w:hanging="3"/>
        <w:jc w:val="both"/>
        <w:rPr>
          <w:sz w:val="24"/>
          <w:szCs w:val="24"/>
        </w:rPr>
      </w:pPr>
    </w:p>
    <w:p w:rsidR="00175F93" w:rsidRPr="00F0600F" w:rsidRDefault="00175F93" w:rsidP="00C41086">
      <w:pPr>
        <w:shd w:val="clear" w:color="auto" w:fill="FFFFFF"/>
        <w:ind w:left="1" w:hanging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Pr="00F0600F">
        <w:rPr>
          <w:sz w:val="24"/>
          <w:szCs w:val="24"/>
        </w:rPr>
        <w:t>‘Piano di bonifica da amianto’ (previsto nel secondo Addendum al Piano operativo ‘Ambiente’ approvato dal Cipe nel 2016), adottato i</w:t>
      </w:r>
      <w:r>
        <w:rPr>
          <w:sz w:val="24"/>
          <w:szCs w:val="24"/>
        </w:rPr>
        <w:t>l</w:t>
      </w:r>
      <w:r w:rsidRPr="00F0600F">
        <w:rPr>
          <w:sz w:val="24"/>
          <w:szCs w:val="24"/>
        </w:rPr>
        <w:t xml:space="preserve"> 14/01/2020 con un provvedimento dal Ministro Costa”, </w:t>
      </w:r>
      <w:r>
        <w:rPr>
          <w:sz w:val="24"/>
          <w:szCs w:val="24"/>
        </w:rPr>
        <w:t xml:space="preserve">prevede lo stanziamento di </w:t>
      </w:r>
      <w:r w:rsidRPr="00F0600F">
        <w:rPr>
          <w:sz w:val="24"/>
          <w:szCs w:val="24"/>
        </w:rPr>
        <w:t>385 milioni di euro per la bonifica dall’amianto negli edifici pubblici, in particolare per la rimozione e lo smaltimento nelle scuole e negli ospedali</w:t>
      </w:r>
      <w:r>
        <w:rPr>
          <w:sz w:val="24"/>
          <w:szCs w:val="24"/>
        </w:rPr>
        <w:t>; di questi oltre 10 milioni di euro potrebbero essere destinati alla Toscana.</w:t>
      </w:r>
    </w:p>
    <w:p w:rsidR="00175F93" w:rsidRDefault="00175F93" w:rsidP="00C41086">
      <w:pPr>
        <w:shd w:val="clear" w:color="auto" w:fill="FFFFFF"/>
        <w:ind w:left="1" w:hanging="3"/>
        <w:jc w:val="both"/>
        <w:rPr>
          <w:sz w:val="24"/>
          <w:szCs w:val="24"/>
        </w:rPr>
      </w:pPr>
    </w:p>
    <w:p w:rsidR="00175F93" w:rsidRDefault="00175F93" w:rsidP="00C41086">
      <w:pPr>
        <w:ind w:hanging="2"/>
        <w:jc w:val="both"/>
        <w:rPr>
          <w:sz w:val="24"/>
          <w:szCs w:val="24"/>
        </w:rPr>
      </w:pPr>
      <w:r w:rsidRPr="00F0600F">
        <w:rPr>
          <w:sz w:val="24"/>
          <w:szCs w:val="24"/>
        </w:rPr>
        <w:t>Nel piano sono individuati i soggetti beneficiari delle risorse (Regioni e Province autonome di Trento e Bolzano) e le modalità di trasferimento. I soggetti beneficiari individuano, a loro volta, gli interventi da finanziare e ne curano la gestione, il controllo e il monitoraggio sulla realizzazione</w:t>
      </w:r>
    </w:p>
    <w:p w:rsidR="00175F93" w:rsidRDefault="00175F93" w:rsidP="00C41086">
      <w:pPr>
        <w:ind w:hanging="2"/>
        <w:jc w:val="center"/>
        <w:rPr>
          <w:sz w:val="24"/>
          <w:szCs w:val="24"/>
        </w:rPr>
      </w:pPr>
    </w:p>
    <w:p w:rsidR="00175F93" w:rsidRPr="005E1732" w:rsidRDefault="00175F93" w:rsidP="00C41086">
      <w:pPr>
        <w:ind w:left="-72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TUTTO CIO’ PREMESSO</w:t>
      </w:r>
      <w:r w:rsidRPr="005E1732">
        <w:rPr>
          <w:color w:val="000000"/>
          <w:sz w:val="24"/>
          <w:szCs w:val="24"/>
        </w:rPr>
        <w:t>,</w:t>
      </w:r>
    </w:p>
    <w:p w:rsidR="00175F93" w:rsidRDefault="00175F93" w:rsidP="00C41086">
      <w:pPr>
        <w:spacing w:before="280"/>
        <w:jc w:val="center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 xml:space="preserve">IL CONSIGLIO COMUNALE </w:t>
      </w:r>
    </w:p>
    <w:p w:rsidR="00175F93" w:rsidRPr="004E1B56" w:rsidRDefault="00175F93" w:rsidP="00C41086">
      <w:pPr>
        <w:spacing w:before="280"/>
        <w:jc w:val="center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INVITA  IL SINDACO E LA GIUNTA</w:t>
      </w:r>
    </w:p>
    <w:p w:rsidR="00175F93" w:rsidRPr="00903583" w:rsidRDefault="00175F93" w:rsidP="00C41086">
      <w:pPr>
        <w:spacing w:line="276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75F93" w:rsidRPr="00793692" w:rsidRDefault="00175F93" w:rsidP="00C41086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35AEF">
        <w:rPr>
          <w:sz w:val="24"/>
          <w:szCs w:val="24"/>
        </w:rPr>
        <w:t xml:space="preserve">A </w:t>
      </w:r>
      <w:r>
        <w:rPr>
          <w:sz w:val="24"/>
          <w:szCs w:val="24"/>
        </w:rPr>
        <w:t>intraprendere</w:t>
      </w:r>
      <w:r w:rsidRPr="00335A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 urgenza tutte le iniziative necessarie nei confronti della Regione Toscana, affinché la Regione attivi fin da subito tutte le procedure propedeutiche finalizzate </w:t>
      </w:r>
      <w:r w:rsidRPr="00793692">
        <w:rPr>
          <w:sz w:val="24"/>
          <w:szCs w:val="24"/>
        </w:rPr>
        <w:t xml:space="preserve">all’ottenimento dei finanziamenti </w:t>
      </w:r>
      <w:r>
        <w:rPr>
          <w:sz w:val="24"/>
          <w:szCs w:val="24"/>
        </w:rPr>
        <w:t>stanziati dal Governo Nazionale</w:t>
      </w:r>
      <w:bookmarkStart w:id="0" w:name="_GoBack"/>
      <w:bookmarkEnd w:id="0"/>
      <w:r>
        <w:rPr>
          <w:sz w:val="24"/>
          <w:szCs w:val="24"/>
        </w:rPr>
        <w:t xml:space="preserve"> destinati</w:t>
      </w:r>
      <w:r w:rsidRPr="00793692">
        <w:rPr>
          <w:sz w:val="24"/>
          <w:szCs w:val="24"/>
        </w:rPr>
        <w:t xml:space="preserve"> alla bonifica da amianto </w:t>
      </w:r>
      <w:r>
        <w:rPr>
          <w:sz w:val="24"/>
          <w:szCs w:val="24"/>
        </w:rPr>
        <w:t>n</w:t>
      </w:r>
      <w:r w:rsidRPr="00793692">
        <w:rPr>
          <w:sz w:val="24"/>
          <w:szCs w:val="24"/>
        </w:rPr>
        <w:t>egli edifici scolastici di competenza Comunale: scuole del primo ciclo infanzia, primaria e secondaria di primo grado.</w:t>
      </w:r>
    </w:p>
    <w:p w:rsidR="00175F93" w:rsidRPr="002715D8" w:rsidRDefault="00175F93" w:rsidP="00C41086">
      <w:pPr>
        <w:ind w:left="360"/>
        <w:jc w:val="both"/>
        <w:rPr>
          <w:sz w:val="24"/>
          <w:szCs w:val="24"/>
        </w:rPr>
      </w:pPr>
    </w:p>
    <w:p w:rsidR="00175F93" w:rsidRPr="00451145" w:rsidRDefault="00175F93" w:rsidP="00BA2DE6">
      <w:pPr>
        <w:jc w:val="both"/>
        <w:rPr>
          <w:rFonts w:ascii="Cambria" w:hAnsi="Cambria"/>
          <w:bCs/>
          <w:iCs/>
          <w:color w:val="000000"/>
          <w:sz w:val="24"/>
          <w:szCs w:val="24"/>
        </w:rPr>
      </w:pPr>
    </w:p>
    <w:p w:rsidR="00175F93" w:rsidRPr="00451145" w:rsidRDefault="00175F93" w:rsidP="00BA2DE6">
      <w:pPr>
        <w:jc w:val="both"/>
        <w:rPr>
          <w:rFonts w:ascii="Cambria" w:hAnsi="Cambria"/>
          <w:bCs/>
          <w:iCs/>
          <w:color w:val="000000"/>
          <w:sz w:val="24"/>
          <w:szCs w:val="24"/>
        </w:rPr>
      </w:pPr>
    </w:p>
    <w:p w:rsidR="00175F93" w:rsidRPr="00451145" w:rsidRDefault="00175F93" w:rsidP="00BA2DE6">
      <w:pPr>
        <w:jc w:val="both"/>
        <w:rPr>
          <w:rFonts w:ascii="Cambria" w:hAnsi="Cambria"/>
          <w:bCs/>
          <w:iCs/>
          <w:color w:val="000000"/>
          <w:sz w:val="24"/>
          <w:szCs w:val="24"/>
        </w:rPr>
      </w:pPr>
    </w:p>
    <w:p w:rsidR="00175F93" w:rsidRPr="005E1732" w:rsidRDefault="00175F93" w:rsidP="005E1732">
      <w:pPr>
        <w:rPr>
          <w:sz w:val="24"/>
          <w:szCs w:val="24"/>
        </w:rPr>
      </w:pPr>
    </w:p>
    <w:p w:rsidR="00175F93" w:rsidRDefault="00175F93" w:rsidP="009A3ADF">
      <w:pPr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 xml:space="preserve">I consiglieri comunali </w:t>
      </w:r>
    </w:p>
    <w:p w:rsidR="00175F93" w:rsidRDefault="00175F93" w:rsidP="009A3ADF">
      <w:pPr>
        <w:jc w:val="both"/>
        <w:rPr>
          <w:rFonts w:ascii="Georgia" w:hAnsi="Georgia" w:cs="Georgia"/>
          <w:color w:val="000000"/>
          <w:sz w:val="24"/>
          <w:szCs w:val="24"/>
        </w:rPr>
      </w:pPr>
    </w:p>
    <w:p w:rsidR="00175F93" w:rsidRDefault="00175F93" w:rsidP="009A3ADF">
      <w:pPr>
        <w:jc w:val="both"/>
        <w:rPr>
          <w:rFonts w:ascii="Georgia" w:hAnsi="Georgia" w:cs="Georgia"/>
          <w:color w:val="000000"/>
          <w:sz w:val="24"/>
          <w:szCs w:val="24"/>
        </w:rPr>
      </w:pPr>
    </w:p>
    <w:p w:rsidR="00175F93" w:rsidRDefault="00175F93" w:rsidP="009A3ADF">
      <w:pPr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Roberto De Blasi</w:t>
      </w:r>
      <w:r>
        <w:rPr>
          <w:rFonts w:ascii="Georgia" w:hAnsi="Georgia" w:cs="Georgia"/>
          <w:color w:val="000000"/>
          <w:sz w:val="24"/>
          <w:szCs w:val="24"/>
        </w:rPr>
        <w:tab/>
      </w:r>
      <w:r>
        <w:rPr>
          <w:rFonts w:ascii="Georgia" w:hAnsi="Georgia" w:cs="Georgia"/>
          <w:color w:val="000000"/>
          <w:sz w:val="24"/>
          <w:szCs w:val="24"/>
        </w:rPr>
        <w:tab/>
      </w:r>
      <w:r>
        <w:rPr>
          <w:rFonts w:ascii="Georgia" w:hAnsi="Georgia" w:cs="Georgia"/>
          <w:color w:val="000000"/>
          <w:sz w:val="24"/>
          <w:szCs w:val="24"/>
        </w:rPr>
        <w:tab/>
      </w:r>
      <w:r>
        <w:rPr>
          <w:rFonts w:ascii="Georgia" w:hAnsi="Georgia" w:cs="Georgia"/>
          <w:color w:val="000000"/>
          <w:sz w:val="24"/>
          <w:szCs w:val="24"/>
        </w:rPr>
        <w:tab/>
      </w:r>
      <w:r>
        <w:rPr>
          <w:rFonts w:ascii="Georgia" w:hAnsi="Georgia" w:cs="Georgia"/>
          <w:color w:val="000000"/>
          <w:sz w:val="24"/>
          <w:szCs w:val="24"/>
        </w:rPr>
        <w:tab/>
      </w:r>
      <w:r>
        <w:rPr>
          <w:rFonts w:ascii="Georgia" w:hAnsi="Georgia" w:cs="Georgia"/>
          <w:color w:val="000000"/>
          <w:sz w:val="24"/>
          <w:szCs w:val="24"/>
        </w:rPr>
        <w:tab/>
      </w:r>
      <w:r>
        <w:rPr>
          <w:rFonts w:ascii="Georgia" w:hAnsi="Georgia" w:cs="Georgia"/>
          <w:color w:val="000000"/>
          <w:sz w:val="24"/>
          <w:szCs w:val="24"/>
        </w:rPr>
        <w:tab/>
      </w:r>
      <w:r>
        <w:rPr>
          <w:rFonts w:ascii="Georgia" w:hAnsi="Georgia" w:cs="Georgia"/>
          <w:color w:val="000000"/>
          <w:sz w:val="24"/>
          <w:szCs w:val="24"/>
        </w:rPr>
        <w:tab/>
        <w:t>Lorenzo Masi</w:t>
      </w:r>
    </w:p>
    <w:p w:rsidR="00175F93" w:rsidRPr="00C24894" w:rsidRDefault="00175F93" w:rsidP="009A3ADF">
      <w:pPr>
        <w:jc w:val="both"/>
        <w:rPr>
          <w:rFonts w:ascii="Georgia" w:hAnsi="Georgia" w:cs="Georgia"/>
          <w:color w:val="000000"/>
          <w:sz w:val="24"/>
          <w:szCs w:val="24"/>
        </w:rPr>
      </w:pPr>
      <w:r w:rsidRPr="009A40F1">
        <w:rPr>
          <w:rFonts w:ascii="Georgia" w:hAnsi="Georgia" w:cs="Georgia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60pt">
            <v:imagedata r:id="rId7" o:title=""/>
          </v:shape>
        </w:pict>
      </w:r>
    </w:p>
    <w:p w:rsidR="00175F93" w:rsidRDefault="00175F93" w:rsidP="009A3ADF">
      <w:pPr>
        <w:jc w:val="both"/>
        <w:rPr>
          <w:rFonts w:ascii="Georgia" w:hAnsi="Georgia" w:cs="Georgia"/>
          <w:color w:val="000000"/>
          <w:sz w:val="24"/>
          <w:szCs w:val="24"/>
        </w:rPr>
      </w:pPr>
    </w:p>
    <w:p w:rsidR="00175F93" w:rsidRDefault="00175F93" w:rsidP="009A3ADF">
      <w:pPr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ab/>
      </w:r>
      <w:r>
        <w:rPr>
          <w:rFonts w:ascii="Georgia" w:hAnsi="Georgia" w:cs="Georgia"/>
          <w:color w:val="000000"/>
          <w:sz w:val="24"/>
          <w:szCs w:val="24"/>
        </w:rPr>
        <w:tab/>
      </w:r>
      <w:r>
        <w:rPr>
          <w:rFonts w:ascii="Georgia" w:hAnsi="Georgia" w:cs="Georgia"/>
          <w:color w:val="000000"/>
          <w:sz w:val="24"/>
          <w:szCs w:val="24"/>
        </w:rPr>
        <w:tab/>
      </w:r>
      <w:r>
        <w:rPr>
          <w:rFonts w:ascii="Georgia" w:hAnsi="Georgia" w:cs="Georgia"/>
          <w:color w:val="000000"/>
          <w:sz w:val="24"/>
          <w:szCs w:val="24"/>
        </w:rPr>
        <w:tab/>
      </w:r>
      <w:r>
        <w:rPr>
          <w:rFonts w:ascii="Georgia" w:hAnsi="Georgia" w:cs="Georgia"/>
          <w:color w:val="000000"/>
          <w:sz w:val="24"/>
          <w:szCs w:val="24"/>
        </w:rPr>
        <w:tab/>
      </w:r>
      <w:r>
        <w:rPr>
          <w:rFonts w:ascii="Georgia" w:hAnsi="Georgia" w:cs="Georgia"/>
          <w:color w:val="000000"/>
          <w:sz w:val="24"/>
          <w:szCs w:val="24"/>
        </w:rPr>
        <w:tab/>
      </w:r>
      <w:r>
        <w:rPr>
          <w:rFonts w:ascii="Georgia" w:hAnsi="Georgia" w:cs="Georgia"/>
          <w:color w:val="000000"/>
          <w:sz w:val="24"/>
          <w:szCs w:val="24"/>
        </w:rPr>
        <w:tab/>
        <w:t xml:space="preserve">         </w:t>
      </w:r>
    </w:p>
    <w:p w:rsidR="00175F93" w:rsidRPr="00C24894" w:rsidRDefault="00175F93" w:rsidP="009A3ADF">
      <w:pPr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Pr="009A40F1">
        <w:rPr>
          <w:rFonts w:ascii="Georgia" w:hAnsi="Georgia" w:cs="Georgia"/>
          <w:color w:val="000000"/>
          <w:sz w:val="24"/>
          <w:szCs w:val="24"/>
        </w:rPr>
        <w:pict>
          <v:shape id="_x0000_i1026" type="#_x0000_t75" style="width:152.25pt;height:76.5pt">
            <v:imagedata r:id="rId8" o:title=""/>
          </v:shape>
        </w:pict>
      </w:r>
    </w:p>
    <w:p w:rsidR="00175F93" w:rsidRDefault="00175F93" w:rsidP="009A3ADF">
      <w:pPr>
        <w:ind w:left="360"/>
        <w:jc w:val="both"/>
        <w:rPr>
          <w:rFonts w:ascii="Georgia" w:hAnsi="Georgia" w:cs="Georgia"/>
          <w:color w:val="000000"/>
          <w:sz w:val="24"/>
          <w:szCs w:val="24"/>
        </w:rPr>
      </w:pPr>
    </w:p>
    <w:sectPr w:rsidR="00175F93" w:rsidSect="00CF49B1">
      <w:headerReference w:type="default" r:id="rId9"/>
      <w:footerReference w:type="default" r:id="rId10"/>
      <w:pgSz w:w="11906" w:h="16838"/>
      <w:pgMar w:top="1958" w:right="1134" w:bottom="1134" w:left="1134" w:header="899" w:footer="708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F93" w:rsidRDefault="00175F93">
      <w:r>
        <w:separator/>
      </w:r>
    </w:p>
  </w:endnote>
  <w:endnote w:type="continuationSeparator" w:id="0">
    <w:p w:rsidR="00175F93" w:rsidRDefault="00175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F93" w:rsidRDefault="00175F93">
    <w:pPr>
      <w:ind w:left="180"/>
      <w:rPr>
        <w:color w:val="FF0000"/>
        <w:sz w:val="22"/>
        <w:szCs w:val="22"/>
      </w:rPr>
    </w:pPr>
    <w:r>
      <w:rPr>
        <w:color w:val="FF0000"/>
        <w:sz w:val="22"/>
        <w:szCs w:val="22"/>
      </w:rPr>
      <w:t>_____________________________________________________________________________________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F93" w:rsidRDefault="00175F93">
      <w:r>
        <w:separator/>
      </w:r>
    </w:p>
  </w:footnote>
  <w:footnote w:type="continuationSeparator" w:id="0">
    <w:p w:rsidR="00175F93" w:rsidRDefault="00175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F93" w:rsidRDefault="00175F93">
    <w:pPr>
      <w:ind w:left="3238"/>
      <w:jc w:val="right"/>
      <w:rPr>
        <w:rFonts w:ascii="Garamond" w:hAnsi="Garamond" w:cs="Garamond"/>
        <w:color w:val="000000"/>
        <w:sz w:val="24"/>
        <w:szCs w:val="24"/>
      </w:rPr>
    </w:pPr>
    <w:r>
      <w:rPr>
        <w:rFonts w:ascii="Garamond" w:hAnsi="Garamond" w:cs="Garamond"/>
        <w:b/>
        <w:color w:val="000000"/>
        <w:sz w:val="32"/>
        <w:szCs w:val="32"/>
      </w:rPr>
      <w:t xml:space="preserve"> </w:t>
    </w:r>
    <w:r>
      <w:rPr>
        <w:rFonts w:ascii="Garamond" w:hAnsi="Garamond" w:cs="Garamond"/>
        <w:color w:val="000000"/>
        <w:sz w:val="24"/>
        <w:szCs w:val="24"/>
      </w:rPr>
      <w:t>Gruppo consiliar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position:absolute;left:0;text-align:left;margin-left:-27pt;margin-top:7.95pt;width:120.6pt;height:60.3pt;z-index:251660288;visibility:visible;mso-wrap-distance-left:9.05pt;mso-wrap-distance-right:9.05pt;mso-position-horizontal-relative:text;mso-position-vertical-relative:text">
          <v:imagedata r:id="rId1" o:title=""/>
        </v:shape>
      </w:pict>
    </w:r>
    <w:r>
      <w:rPr>
        <w:rFonts w:ascii="Garamond" w:hAnsi="Garamond" w:cs="Garamond"/>
        <w:color w:val="000000"/>
        <w:sz w:val="24"/>
        <w:szCs w:val="24"/>
      </w:rPr>
      <w:t>e</w:t>
    </w:r>
  </w:p>
  <w:p w:rsidR="00175F93" w:rsidRDefault="00175F93">
    <w:pPr>
      <w:ind w:left="3238"/>
      <w:jc w:val="right"/>
      <w:rPr>
        <w:rFonts w:ascii="Garamond" w:hAnsi="Garamond" w:cs="Garamond"/>
        <w:b/>
        <w:i/>
        <w:color w:val="000000"/>
        <w:sz w:val="28"/>
        <w:szCs w:val="28"/>
      </w:rPr>
    </w:pPr>
  </w:p>
  <w:p w:rsidR="00175F93" w:rsidRPr="00920C8E" w:rsidRDefault="00175F93">
    <w:pPr>
      <w:ind w:left="3238"/>
      <w:jc w:val="right"/>
      <w:rPr>
        <w:rFonts w:ascii="Garamond" w:hAnsi="Garamond" w:cs="Garamond"/>
        <w:b/>
        <w:color w:val="000000"/>
        <w:sz w:val="28"/>
        <w:szCs w:val="28"/>
      </w:rPr>
    </w:pPr>
    <w:r w:rsidRPr="00BA2DE6">
      <w:rPr>
        <w:rFonts w:ascii="Garamond" w:hAnsi="Garamond" w:cs="Garamond"/>
        <w:b/>
        <w:i/>
        <w:color w:val="000000"/>
        <w:sz w:val="28"/>
        <w:szCs w:val="28"/>
      </w:rPr>
      <w:t>Movimento 5 Stelle</w:t>
    </w:r>
  </w:p>
  <w:p w:rsidR="00175F93" w:rsidRDefault="00175F93">
    <w:pPr>
      <w:ind w:left="3238"/>
      <w:jc w:val="right"/>
      <w:rPr>
        <w:rFonts w:ascii="Garamond" w:hAnsi="Garamond" w:cs="Garamond"/>
        <w:b/>
        <w:color w:val="000000"/>
      </w:rPr>
    </w:pPr>
  </w:p>
  <w:p w:rsidR="00175F93" w:rsidRDefault="00175F93">
    <w:pPr>
      <w:ind w:left="3238"/>
      <w:jc w:val="right"/>
      <w:rPr>
        <w:rFonts w:ascii="Garamond" w:hAnsi="Garamond" w:cs="Garamond"/>
        <w:color w:val="000000"/>
        <w:sz w:val="16"/>
        <w:szCs w:val="16"/>
      </w:rPr>
    </w:pPr>
    <w:r>
      <w:rPr>
        <w:rFonts w:ascii="Garamond" w:hAnsi="Garamond" w:cs="Garamond"/>
        <w:b/>
        <w:color w:val="000000"/>
      </w:rPr>
      <w:t xml:space="preserve">  </w:t>
    </w:r>
  </w:p>
  <w:p w:rsidR="00175F93" w:rsidRDefault="00175F93">
    <w:pPr>
      <w:ind w:left="3238"/>
      <w:jc w:val="right"/>
      <w:rPr>
        <w:color w:val="FF0000"/>
        <w:sz w:val="22"/>
        <w:szCs w:val="22"/>
      </w:rPr>
    </w:pPr>
    <w:r>
      <w:rPr>
        <w:noProof/>
      </w:rPr>
      <w:pict>
        <v:shape id="image2.png" o:spid="_x0000_s2050" type="#_x0000_t75" style="position:absolute;left:0;text-align:left;margin-left:18pt;margin-top:6pt;width:468.15pt;height:1pt;z-index:251661312;visibility:visible">
          <v:imagedata r:id="rId2" o:title=""/>
        </v:shape>
      </w:pict>
    </w:r>
  </w:p>
  <w:p w:rsidR="00175F93" w:rsidRDefault="00175F93">
    <w:pP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44228"/>
    <w:multiLevelType w:val="hybridMultilevel"/>
    <w:tmpl w:val="6F245AE0"/>
    <w:lvl w:ilvl="0" w:tplc="11D0CD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E5972"/>
    <w:multiLevelType w:val="hybridMultilevel"/>
    <w:tmpl w:val="73DA0D3C"/>
    <w:lvl w:ilvl="0" w:tplc="EA8C99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A69F0"/>
    <w:multiLevelType w:val="multilevel"/>
    <w:tmpl w:val="ECA8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F23A6"/>
    <w:multiLevelType w:val="multilevel"/>
    <w:tmpl w:val="B91A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B760D7"/>
    <w:multiLevelType w:val="multilevel"/>
    <w:tmpl w:val="B996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641EF"/>
    <w:multiLevelType w:val="multilevel"/>
    <w:tmpl w:val="857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780"/>
    <w:rsid w:val="00014BC3"/>
    <w:rsid w:val="000234E8"/>
    <w:rsid w:val="00047CAA"/>
    <w:rsid w:val="00093FAF"/>
    <w:rsid w:val="000B344D"/>
    <w:rsid w:val="000C15F7"/>
    <w:rsid w:val="000D51A0"/>
    <w:rsid w:val="000F284F"/>
    <w:rsid w:val="00153FF0"/>
    <w:rsid w:val="00175F93"/>
    <w:rsid w:val="00245604"/>
    <w:rsid w:val="00264E6B"/>
    <w:rsid w:val="002715D8"/>
    <w:rsid w:val="00335AEF"/>
    <w:rsid w:val="003815DC"/>
    <w:rsid w:val="003C42AD"/>
    <w:rsid w:val="003D4916"/>
    <w:rsid w:val="00414571"/>
    <w:rsid w:val="00451145"/>
    <w:rsid w:val="004E1B56"/>
    <w:rsid w:val="004F6A04"/>
    <w:rsid w:val="004F7052"/>
    <w:rsid w:val="00572484"/>
    <w:rsid w:val="005958A6"/>
    <w:rsid w:val="005E1732"/>
    <w:rsid w:val="00624F18"/>
    <w:rsid w:val="0064662B"/>
    <w:rsid w:val="006C04D9"/>
    <w:rsid w:val="007115EF"/>
    <w:rsid w:val="007601BA"/>
    <w:rsid w:val="00777A52"/>
    <w:rsid w:val="00793692"/>
    <w:rsid w:val="007B194F"/>
    <w:rsid w:val="00845ED9"/>
    <w:rsid w:val="00851C89"/>
    <w:rsid w:val="00882C13"/>
    <w:rsid w:val="008C6E90"/>
    <w:rsid w:val="008D2F5C"/>
    <w:rsid w:val="008D6055"/>
    <w:rsid w:val="008F3618"/>
    <w:rsid w:val="008F5B9E"/>
    <w:rsid w:val="00903583"/>
    <w:rsid w:val="00920C8E"/>
    <w:rsid w:val="00941655"/>
    <w:rsid w:val="00972921"/>
    <w:rsid w:val="009A3ADF"/>
    <w:rsid w:val="009A40F1"/>
    <w:rsid w:val="009D2B77"/>
    <w:rsid w:val="00A16061"/>
    <w:rsid w:val="00AA0468"/>
    <w:rsid w:val="00AC7BBC"/>
    <w:rsid w:val="00B03F7C"/>
    <w:rsid w:val="00B93D75"/>
    <w:rsid w:val="00BA2DE6"/>
    <w:rsid w:val="00C16109"/>
    <w:rsid w:val="00C22DF6"/>
    <w:rsid w:val="00C24894"/>
    <w:rsid w:val="00C30DB9"/>
    <w:rsid w:val="00C41086"/>
    <w:rsid w:val="00C45120"/>
    <w:rsid w:val="00CA600C"/>
    <w:rsid w:val="00CE35EE"/>
    <w:rsid w:val="00CF49B1"/>
    <w:rsid w:val="00D370C0"/>
    <w:rsid w:val="00D54206"/>
    <w:rsid w:val="00D86AEE"/>
    <w:rsid w:val="00E06572"/>
    <w:rsid w:val="00E71780"/>
    <w:rsid w:val="00F03F9A"/>
    <w:rsid w:val="00F0600F"/>
    <w:rsid w:val="00F519E3"/>
    <w:rsid w:val="00FF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B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49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49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49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49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F49B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F49B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0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D605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D605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D605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D605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D6055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CF49B1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CF49B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8D6055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F49B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D6055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61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1610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161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6109"/>
    <w:rPr>
      <w:rFonts w:cs="Times New Roman"/>
    </w:rPr>
  </w:style>
  <w:style w:type="paragraph" w:styleId="NormalWeb">
    <w:name w:val="Normal (Web)"/>
    <w:basedOn w:val="Normal"/>
    <w:uiPriority w:val="99"/>
    <w:rsid w:val="008F5B9E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BA2DE6"/>
    <w:rPr>
      <w:rFonts w:ascii="Calibri" w:hAnsi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A2DE6"/>
    <w:rPr>
      <w:rFonts w:ascii="Calibri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BA2DE6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BA2DE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51C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24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05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5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902</Words>
  <Characters>5146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Febbraio 2020</dc:title>
  <dc:subject/>
  <dc:creator>DE BLASI ROBERTO</dc:creator>
  <cp:keywords/>
  <dc:description/>
  <cp:lastModifiedBy>D15803</cp:lastModifiedBy>
  <cp:revision>2</cp:revision>
  <cp:lastPrinted>2020-02-10T10:00:00Z</cp:lastPrinted>
  <dcterms:created xsi:type="dcterms:W3CDTF">2020-02-10T10:31:00Z</dcterms:created>
  <dcterms:modified xsi:type="dcterms:W3CDTF">2020-02-10T10:31:00Z</dcterms:modified>
</cp:coreProperties>
</file>